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1D" w:rsidRPr="00A3631D" w:rsidRDefault="00A3631D" w:rsidP="00A3631D">
      <w:pPr>
        <w:jc w:val="center"/>
        <w:rPr>
          <w:b/>
          <w:bCs/>
          <w:color w:val="002060"/>
          <w:sz w:val="36"/>
          <w:szCs w:val="36"/>
        </w:rPr>
      </w:pPr>
      <w:r w:rsidRPr="00A3631D">
        <w:rPr>
          <w:rFonts w:hint="eastAsia"/>
          <w:b/>
          <w:bCs/>
          <w:color w:val="002060"/>
          <w:sz w:val="36"/>
          <w:szCs w:val="36"/>
        </w:rPr>
        <w:t>扬州工业职业技术学院</w:t>
      </w:r>
    </w:p>
    <w:p w:rsidR="00B00C58" w:rsidRPr="00A3631D" w:rsidRDefault="00A3631D" w:rsidP="00A3631D">
      <w:pPr>
        <w:jc w:val="center"/>
        <w:rPr>
          <w:b/>
          <w:bCs/>
          <w:color w:val="002060"/>
          <w:sz w:val="36"/>
          <w:szCs w:val="36"/>
        </w:rPr>
      </w:pPr>
      <w:r w:rsidRPr="00A3631D">
        <w:rPr>
          <w:b/>
          <w:bCs/>
          <w:color w:val="002060"/>
          <w:sz w:val="36"/>
          <w:szCs w:val="36"/>
        </w:rPr>
        <w:t>2020年</w:t>
      </w:r>
      <w:r w:rsidR="00630E73">
        <w:rPr>
          <w:rFonts w:hint="eastAsia"/>
          <w:b/>
          <w:bCs/>
          <w:color w:val="002060"/>
          <w:sz w:val="36"/>
          <w:szCs w:val="36"/>
        </w:rPr>
        <w:t>5</w:t>
      </w:r>
      <w:r w:rsidRPr="00A3631D">
        <w:rPr>
          <w:b/>
          <w:bCs/>
          <w:color w:val="002060"/>
          <w:sz w:val="36"/>
          <w:szCs w:val="36"/>
        </w:rPr>
        <w:t>月</w:t>
      </w:r>
      <w:r w:rsidR="00630E73">
        <w:rPr>
          <w:rFonts w:hint="eastAsia"/>
          <w:b/>
          <w:bCs/>
          <w:color w:val="002060"/>
          <w:sz w:val="36"/>
          <w:szCs w:val="36"/>
        </w:rPr>
        <w:t>31</w:t>
      </w:r>
      <w:r w:rsidRPr="00A3631D">
        <w:rPr>
          <w:b/>
          <w:bCs/>
          <w:color w:val="002060"/>
          <w:sz w:val="36"/>
          <w:szCs w:val="36"/>
        </w:rPr>
        <w:t>日网络视频人才招聘会公告</w:t>
      </w:r>
    </w:p>
    <w:p w:rsid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扬州工业职业技术学院是一所省属公办全日制普通高等职业院校，坐落于获得“联合国人居环境奖”的全国首批历史文化名城—江苏省扬州市。学校是江苏省示范性高等职业院校，江苏省职业教育先进单位，全国职业院校创新创业教育先进单位，教育部现代学徒制试点学校，教育部产学协同育人单位，教育部“高端技能型、应用型人才联合培养百千万计划”院校。学校占地总面积1027亩，目前全日制在校生共计12000余人，其中与本科高校联合招收培养本科生476人，外国留学生370余人，设有化学工程学院、建筑工程学院、智能制造学院、信息工程学院、交通工程学院、商学院、艺术设计学院、创新创业学院、海外教育学院、继续教育学院、马克思主义学院、基础科学部、体育部等13个教学单位。学校现有国家级生产性实训基地3个、央财支持的实训基地2个、省级实训基地4个、省人才培养模式创新实验基地1个，有国家级协同创新中心1个、省级工程研发中心2个、省高校示范马克思主义学院培育点1个。为进一步实施人才强校战略，建设特色鲜明、国际有影响的高水平新扬工，现面向社会公开招聘教授、博士及能工巧匠等高层次人才。</w:t>
      </w:r>
    </w:p>
    <w:p w:rsidR="00A3631D" w:rsidRDefault="00A3631D" w:rsidP="00A3631D">
      <w:pPr>
        <w:spacing w:line="480" w:lineRule="exact"/>
        <w:ind w:firstLineChars="200" w:firstLine="561"/>
        <w:rPr>
          <w:rFonts w:ascii="华文仿宋" w:eastAsia="华文仿宋" w:hAnsi="华文仿宋"/>
          <w:b/>
          <w:bCs/>
          <w:sz w:val="28"/>
          <w:szCs w:val="28"/>
        </w:rPr>
      </w:pPr>
      <w:r w:rsidRPr="00DE5642">
        <w:rPr>
          <w:rFonts w:ascii="华文仿宋" w:eastAsia="华文仿宋" w:hAnsi="华文仿宋" w:hint="eastAsia"/>
          <w:b/>
          <w:bCs/>
          <w:sz w:val="28"/>
          <w:szCs w:val="28"/>
        </w:rPr>
        <w:t>视频招聘会日程：2020</w:t>
      </w:r>
      <w:r w:rsidR="00630E73">
        <w:rPr>
          <w:rFonts w:ascii="华文仿宋" w:eastAsia="华文仿宋" w:hAnsi="华文仿宋" w:hint="eastAsia"/>
          <w:b/>
          <w:bCs/>
          <w:sz w:val="28"/>
          <w:szCs w:val="28"/>
        </w:rPr>
        <w:t>年</w:t>
      </w:r>
      <w:r w:rsidR="009E62BE">
        <w:rPr>
          <w:rFonts w:ascii="华文仿宋" w:eastAsia="华文仿宋" w:hAnsi="华文仿宋" w:hint="eastAsia"/>
          <w:b/>
          <w:bCs/>
          <w:sz w:val="28"/>
          <w:szCs w:val="28"/>
        </w:rPr>
        <w:t>5月3</w:t>
      </w:r>
      <w:r w:rsidR="009E62BE">
        <w:rPr>
          <w:rFonts w:ascii="华文仿宋" w:eastAsia="华文仿宋" w:hAnsi="华文仿宋"/>
          <w:b/>
          <w:bCs/>
          <w:sz w:val="28"/>
          <w:szCs w:val="28"/>
        </w:rPr>
        <w:t>1</w:t>
      </w:r>
      <w:r w:rsidR="009E62BE">
        <w:rPr>
          <w:rFonts w:ascii="华文仿宋" w:eastAsia="华文仿宋" w:hAnsi="华文仿宋" w:hint="eastAsia"/>
          <w:b/>
          <w:bCs/>
          <w:sz w:val="28"/>
          <w:szCs w:val="28"/>
        </w:rPr>
        <w:t>日</w:t>
      </w:r>
    </w:p>
    <w:p w:rsidR="009E62BE" w:rsidRPr="00DE5642" w:rsidRDefault="009E62BE" w:rsidP="00A3631D">
      <w:pPr>
        <w:spacing w:line="480" w:lineRule="exact"/>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时间：北京时间上午0</w:t>
      </w:r>
      <w:r>
        <w:rPr>
          <w:rFonts w:ascii="华文仿宋" w:eastAsia="华文仿宋" w:hAnsi="华文仿宋"/>
          <w:b/>
          <w:bCs/>
          <w:sz w:val="28"/>
          <w:szCs w:val="28"/>
        </w:rPr>
        <w:t>9</w:t>
      </w:r>
      <w:r>
        <w:rPr>
          <w:rFonts w:ascii="华文仿宋" w:eastAsia="华文仿宋" w:hAnsi="华文仿宋" w:hint="eastAsia"/>
          <w:b/>
          <w:bCs/>
          <w:sz w:val="28"/>
          <w:szCs w:val="28"/>
        </w:rPr>
        <w:t>:</w:t>
      </w:r>
      <w:r>
        <w:rPr>
          <w:rFonts w:ascii="华文仿宋" w:eastAsia="华文仿宋" w:hAnsi="华文仿宋"/>
          <w:b/>
          <w:bCs/>
          <w:sz w:val="28"/>
          <w:szCs w:val="28"/>
        </w:rPr>
        <w:t>00-12</w:t>
      </w:r>
      <w:r>
        <w:rPr>
          <w:rFonts w:ascii="华文仿宋" w:eastAsia="华文仿宋" w:hAnsi="华文仿宋" w:hint="eastAsia"/>
          <w:b/>
          <w:bCs/>
          <w:sz w:val="28"/>
          <w:szCs w:val="28"/>
        </w:rPr>
        <w:t>：0</w:t>
      </w:r>
      <w:r>
        <w:rPr>
          <w:rFonts w:ascii="华文仿宋" w:eastAsia="华文仿宋" w:hAnsi="华文仿宋"/>
          <w:b/>
          <w:bCs/>
          <w:sz w:val="28"/>
          <w:szCs w:val="28"/>
        </w:rPr>
        <w:t>0</w:t>
      </w:r>
    </w:p>
    <w:p w:rsidR="00A3631D" w:rsidRDefault="00A3631D" w:rsidP="00A3631D">
      <w:pPr>
        <w:spacing w:line="480" w:lineRule="exact"/>
        <w:ind w:firstLineChars="200" w:firstLine="561"/>
        <w:rPr>
          <w:b/>
          <w:bCs/>
        </w:rPr>
      </w:pPr>
      <w:r w:rsidRPr="00DE5642">
        <w:rPr>
          <w:rFonts w:ascii="华文仿宋" w:eastAsia="华文仿宋" w:hAnsi="华文仿宋" w:hint="eastAsia"/>
          <w:b/>
          <w:bCs/>
          <w:sz w:val="28"/>
          <w:szCs w:val="28"/>
        </w:rPr>
        <w:t>报名网址：</w:t>
      </w:r>
      <w:hyperlink r:id="rId4" w:history="1">
        <w:r>
          <w:rPr>
            <w:rStyle w:val="a4"/>
          </w:rPr>
          <w:t>http://zph91boshi.mikecrm.com/tC3dpPF</w:t>
        </w:r>
      </w:hyperlink>
      <w:r>
        <w:rPr>
          <w:b/>
          <w:bCs/>
        </w:rPr>
        <w:t xml:space="preserve"> </w:t>
      </w:r>
    </w:p>
    <w:p w:rsidR="00A3631D" w:rsidRDefault="00A3631D" w:rsidP="00A3631D">
      <w:pPr>
        <w:spacing w:line="480" w:lineRule="exact"/>
        <w:ind w:firstLineChars="200" w:firstLine="420"/>
        <w:rPr>
          <w:b/>
          <w:bCs/>
        </w:rPr>
      </w:pPr>
      <w:r>
        <w:rPr>
          <w:rFonts w:hint="eastAsia"/>
          <w:b/>
          <w:bCs/>
        </w:rPr>
        <w:t>（报名成功后将有专人进行联系）</w:t>
      </w:r>
    </w:p>
    <w:p w:rsidR="00A3631D" w:rsidRPr="00A3631D" w:rsidRDefault="00A3631D" w:rsidP="00A3631D">
      <w:pPr>
        <w:spacing w:line="480" w:lineRule="exact"/>
        <w:ind w:firstLineChars="200" w:firstLine="420"/>
        <w:rPr>
          <w:b/>
          <w:bCs/>
        </w:rPr>
      </w:pPr>
    </w:p>
    <w:p w:rsidR="00A3631D" w:rsidRPr="00A3631D" w:rsidRDefault="00A3631D" w:rsidP="00A3631D">
      <w:pPr>
        <w:widowControl/>
        <w:pBdr>
          <w:bottom w:val="dashed" w:sz="6" w:space="6" w:color="E2E2E2"/>
        </w:pBdr>
        <w:ind w:left="375"/>
        <w:jc w:val="left"/>
        <w:outlineLvl w:val="3"/>
        <w:rPr>
          <w:rFonts w:ascii="微软雅黑" w:eastAsia="微软雅黑" w:hAnsi="微软雅黑" w:cs="宋体"/>
          <w:b/>
          <w:bCs/>
          <w:color w:val="E16204"/>
          <w:kern w:val="0"/>
          <w:sz w:val="27"/>
          <w:szCs w:val="27"/>
        </w:rPr>
      </w:pPr>
      <w:bookmarkStart w:id="0" w:name="1"/>
      <w:bookmarkEnd w:id="0"/>
      <w:r w:rsidRPr="00A3631D">
        <w:rPr>
          <w:rFonts w:ascii="微软雅黑" w:eastAsia="微软雅黑" w:hAnsi="微软雅黑" w:cs="宋体" w:hint="eastAsia"/>
          <w:b/>
          <w:bCs/>
          <w:color w:val="E16204"/>
          <w:kern w:val="0"/>
          <w:sz w:val="27"/>
          <w:szCs w:val="27"/>
        </w:rPr>
        <w:t>一、引进人才类别</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lastRenderedPageBreak/>
        <w:t>（一）领军人才：</w:t>
      </w:r>
      <w:r w:rsidRPr="00A3631D">
        <w:rPr>
          <w:rFonts w:ascii="微软雅黑" w:eastAsia="微软雅黑" w:hAnsi="微软雅黑" w:cs="宋体" w:hint="eastAsia"/>
          <w:color w:val="313131"/>
          <w:kern w:val="0"/>
          <w:sz w:val="23"/>
          <w:szCs w:val="23"/>
        </w:rPr>
        <w:t>入选省（部）级以上重点人才项目；或具备正高职称或博士学位的副高职称人员，近五年主持省（部）级以上科研项目或省级以上重大质量工程项目的人员等相当层次的人才，年龄原则上不超过45周岁，条件特别优秀者年龄可适当放宽。</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t>（二）优秀博士：</w:t>
      </w:r>
      <w:r w:rsidRPr="00A3631D">
        <w:rPr>
          <w:rFonts w:ascii="微软雅黑" w:eastAsia="微软雅黑" w:hAnsi="微软雅黑" w:cs="宋体" w:hint="eastAsia"/>
          <w:color w:val="313131"/>
          <w:kern w:val="0"/>
          <w:sz w:val="23"/>
          <w:szCs w:val="23"/>
        </w:rPr>
        <w:t>具备博士学位，科研成果丰富的博士，年龄原则上不超过 40 周岁。</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t>（三）高技能人才：</w:t>
      </w:r>
      <w:r w:rsidRPr="00A3631D">
        <w:rPr>
          <w:rFonts w:ascii="微软雅黑" w:eastAsia="微软雅黑" w:hAnsi="微软雅黑" w:cs="宋体" w:hint="eastAsia"/>
          <w:color w:val="313131"/>
          <w:kern w:val="0"/>
          <w:sz w:val="23"/>
          <w:szCs w:val="23"/>
        </w:rPr>
        <w:t>省“大工匠”、省有突出贡献的技师、省首席技师等省级以上优秀高技能人才或取得突出成果的大中型企业优秀管理人员和技术负责人等，年龄一般不超过 40 周岁，条件特别优秀者年龄可适当放宽。</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t>（四）高水平团队：</w:t>
      </w:r>
      <w:r w:rsidRPr="00A3631D">
        <w:rPr>
          <w:rFonts w:ascii="微软雅黑" w:eastAsia="微软雅黑" w:hAnsi="微软雅黑" w:cs="宋体" w:hint="eastAsia"/>
          <w:color w:val="313131"/>
          <w:kern w:val="0"/>
          <w:sz w:val="23"/>
          <w:szCs w:val="23"/>
        </w:rPr>
        <w:t>带头人学术造诣高，在本专业领域具有较高的影响力，团队成员一般应具有博士学位或副高职称，教科研能力强，团队近年来取得的成果获得同行的高度认可。</w:t>
      </w:r>
    </w:p>
    <w:p w:rsidR="00A3631D" w:rsidRPr="00A3631D" w:rsidRDefault="00A3631D" w:rsidP="00A3631D">
      <w:pPr>
        <w:widowControl/>
        <w:pBdr>
          <w:bottom w:val="dashed" w:sz="6" w:space="6" w:color="E2E2E2"/>
        </w:pBdr>
        <w:ind w:left="375"/>
        <w:jc w:val="left"/>
        <w:outlineLvl w:val="3"/>
        <w:rPr>
          <w:rFonts w:ascii="微软雅黑" w:eastAsia="微软雅黑" w:hAnsi="微软雅黑" w:cs="宋体"/>
          <w:b/>
          <w:bCs/>
          <w:color w:val="E16204"/>
          <w:kern w:val="0"/>
          <w:sz w:val="27"/>
          <w:szCs w:val="27"/>
        </w:rPr>
      </w:pPr>
      <w:bookmarkStart w:id="1" w:name="2"/>
      <w:bookmarkEnd w:id="1"/>
      <w:r w:rsidRPr="00A3631D">
        <w:rPr>
          <w:rFonts w:ascii="微软雅黑" w:eastAsia="微软雅黑" w:hAnsi="微软雅黑" w:cs="宋体" w:hint="eastAsia"/>
          <w:b/>
          <w:bCs/>
          <w:color w:val="E16204"/>
          <w:kern w:val="0"/>
          <w:sz w:val="27"/>
          <w:szCs w:val="27"/>
        </w:rPr>
        <w:t>二、相关待遇</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t>（一）引进待遇（万元）</w:t>
      </w:r>
    </w:p>
    <w:tbl>
      <w:tblPr>
        <w:tblW w:w="5865" w:type="pct"/>
        <w:jc w:val="center"/>
        <w:tblCellSpacing w:w="7" w:type="dxa"/>
        <w:shd w:val="clear" w:color="auto" w:fill="BABABA"/>
        <w:tblCellMar>
          <w:top w:w="15" w:type="dxa"/>
          <w:left w:w="15" w:type="dxa"/>
          <w:bottom w:w="15" w:type="dxa"/>
          <w:right w:w="15" w:type="dxa"/>
        </w:tblCellMar>
        <w:tblLook w:val="04A0"/>
      </w:tblPr>
      <w:tblGrid>
        <w:gridCol w:w="3174"/>
        <w:gridCol w:w="1502"/>
        <w:gridCol w:w="1780"/>
        <w:gridCol w:w="1059"/>
        <w:gridCol w:w="1356"/>
        <w:gridCol w:w="1186"/>
      </w:tblGrid>
      <w:tr w:rsidR="00A3631D" w:rsidRPr="00A3631D" w:rsidTr="00A3631D">
        <w:trPr>
          <w:tblHeader/>
          <w:tblCellSpacing w:w="7" w:type="dxa"/>
          <w:jc w:val="center"/>
        </w:trPr>
        <w:tc>
          <w:tcPr>
            <w:tcW w:w="3054" w:type="dxa"/>
            <w:vMerge w:val="restart"/>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序号</w:t>
            </w:r>
          </w:p>
        </w:tc>
        <w:tc>
          <w:tcPr>
            <w:tcW w:w="1441" w:type="dxa"/>
            <w:vMerge w:val="restart"/>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人才类别</w:t>
            </w:r>
          </w:p>
        </w:tc>
        <w:tc>
          <w:tcPr>
            <w:tcW w:w="1710" w:type="dxa"/>
            <w:vMerge w:val="restart"/>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编制内引进人才的安家费</w:t>
            </w:r>
          </w:p>
        </w:tc>
        <w:tc>
          <w:tcPr>
            <w:tcW w:w="2326" w:type="dxa"/>
            <w:gridSpan w:val="2"/>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科研启动经费</w:t>
            </w:r>
          </w:p>
        </w:tc>
        <w:tc>
          <w:tcPr>
            <w:tcW w:w="1128" w:type="dxa"/>
            <w:vMerge w:val="restart"/>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备注</w:t>
            </w:r>
          </w:p>
        </w:tc>
      </w:tr>
      <w:tr w:rsidR="00A3631D" w:rsidRPr="00A3631D" w:rsidTr="00A3631D">
        <w:trPr>
          <w:tblHeader/>
          <w:tblCellSpacing w:w="7" w:type="dxa"/>
          <w:jc w:val="center"/>
        </w:trPr>
        <w:tc>
          <w:tcPr>
            <w:tcW w:w="3054" w:type="dxa"/>
            <w:vMerge/>
            <w:shd w:val="clear" w:color="auto" w:fill="FFFFFF"/>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p>
        </w:tc>
        <w:tc>
          <w:tcPr>
            <w:tcW w:w="1441" w:type="dxa"/>
            <w:vMerge/>
            <w:shd w:val="clear" w:color="auto" w:fill="FFFFFF"/>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p>
        </w:tc>
        <w:tc>
          <w:tcPr>
            <w:tcW w:w="1710" w:type="dxa"/>
            <w:vMerge/>
            <w:shd w:val="clear" w:color="auto" w:fill="FFFFFF"/>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p>
        </w:tc>
        <w:tc>
          <w:tcPr>
            <w:tcW w:w="1012" w:type="dxa"/>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002060"/>
                <w:kern w:val="0"/>
                <w:sz w:val="23"/>
                <w:szCs w:val="23"/>
              </w:rPr>
            </w:pPr>
            <w:r w:rsidRPr="00A3631D">
              <w:rPr>
                <w:rFonts w:ascii="微软雅黑" w:eastAsia="微软雅黑" w:hAnsi="微软雅黑" w:cs="宋体" w:hint="eastAsia"/>
                <w:b/>
                <w:bCs/>
                <w:color w:val="002060"/>
                <w:kern w:val="0"/>
                <w:sz w:val="23"/>
                <w:szCs w:val="23"/>
              </w:rPr>
              <w:t>理工科</w:t>
            </w:r>
          </w:p>
        </w:tc>
        <w:tc>
          <w:tcPr>
            <w:tcW w:w="1300" w:type="dxa"/>
            <w:shd w:val="clear" w:color="auto" w:fill="FFFFFF"/>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002060"/>
                <w:kern w:val="0"/>
                <w:sz w:val="23"/>
                <w:szCs w:val="23"/>
              </w:rPr>
            </w:pPr>
            <w:r w:rsidRPr="00A3631D">
              <w:rPr>
                <w:rFonts w:ascii="微软雅黑" w:eastAsia="微软雅黑" w:hAnsi="微软雅黑" w:cs="宋体" w:hint="eastAsia"/>
                <w:b/>
                <w:bCs/>
                <w:color w:val="002060"/>
                <w:kern w:val="0"/>
                <w:sz w:val="23"/>
                <w:szCs w:val="23"/>
              </w:rPr>
              <w:t>人文社科</w:t>
            </w:r>
          </w:p>
        </w:tc>
        <w:tc>
          <w:tcPr>
            <w:tcW w:w="1128" w:type="dxa"/>
            <w:vMerge/>
            <w:shd w:val="clear" w:color="auto" w:fill="FFFFFF"/>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p>
        </w:tc>
      </w:tr>
      <w:tr w:rsidR="00A3631D" w:rsidRPr="00A3631D" w:rsidTr="00A3631D">
        <w:trPr>
          <w:tblCellSpacing w:w="7" w:type="dxa"/>
          <w:jc w:val="center"/>
        </w:trPr>
        <w:tc>
          <w:tcPr>
            <w:tcW w:w="3054"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1</w:t>
            </w:r>
          </w:p>
        </w:tc>
        <w:tc>
          <w:tcPr>
            <w:tcW w:w="1441"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领军人才</w:t>
            </w:r>
          </w:p>
        </w:tc>
        <w:tc>
          <w:tcPr>
            <w:tcW w:w="171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50-100</w:t>
            </w:r>
          </w:p>
        </w:tc>
        <w:tc>
          <w:tcPr>
            <w:tcW w:w="1012"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≥20</w:t>
            </w:r>
          </w:p>
        </w:tc>
        <w:tc>
          <w:tcPr>
            <w:tcW w:w="130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≥10</w:t>
            </w:r>
          </w:p>
        </w:tc>
        <w:tc>
          <w:tcPr>
            <w:tcW w:w="1128" w:type="dxa"/>
            <w:vMerge w:val="restart"/>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家属符合条件同时引进，不符合酌情解决</w:t>
            </w:r>
          </w:p>
        </w:tc>
      </w:tr>
      <w:tr w:rsidR="00A3631D" w:rsidRPr="00A3631D" w:rsidTr="00A3631D">
        <w:trPr>
          <w:tblCellSpacing w:w="7" w:type="dxa"/>
          <w:jc w:val="center"/>
        </w:trPr>
        <w:tc>
          <w:tcPr>
            <w:tcW w:w="3054"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2</w:t>
            </w:r>
          </w:p>
        </w:tc>
        <w:tc>
          <w:tcPr>
            <w:tcW w:w="1441"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优秀博士</w:t>
            </w:r>
          </w:p>
        </w:tc>
        <w:tc>
          <w:tcPr>
            <w:tcW w:w="171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30-60</w:t>
            </w:r>
          </w:p>
        </w:tc>
        <w:tc>
          <w:tcPr>
            <w:tcW w:w="1012"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10</w:t>
            </w:r>
          </w:p>
        </w:tc>
        <w:tc>
          <w:tcPr>
            <w:tcW w:w="130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5</w:t>
            </w:r>
          </w:p>
        </w:tc>
        <w:tc>
          <w:tcPr>
            <w:tcW w:w="1128" w:type="dxa"/>
            <w:vMerge/>
            <w:shd w:val="clear" w:color="auto" w:fill="BABABA"/>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p>
        </w:tc>
      </w:tr>
      <w:tr w:rsidR="00A3631D" w:rsidRPr="00A3631D" w:rsidTr="00A3631D">
        <w:trPr>
          <w:tblCellSpacing w:w="7" w:type="dxa"/>
          <w:jc w:val="center"/>
        </w:trPr>
        <w:tc>
          <w:tcPr>
            <w:tcW w:w="3054"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3</w:t>
            </w:r>
          </w:p>
        </w:tc>
        <w:tc>
          <w:tcPr>
            <w:tcW w:w="1441"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高技能人才</w:t>
            </w:r>
          </w:p>
        </w:tc>
        <w:tc>
          <w:tcPr>
            <w:tcW w:w="171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30-80</w:t>
            </w:r>
          </w:p>
        </w:tc>
        <w:tc>
          <w:tcPr>
            <w:tcW w:w="2326" w:type="dxa"/>
            <w:gridSpan w:val="2"/>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≥5</w:t>
            </w:r>
          </w:p>
        </w:tc>
        <w:tc>
          <w:tcPr>
            <w:tcW w:w="1128" w:type="dxa"/>
            <w:vMerge/>
            <w:shd w:val="clear" w:color="auto" w:fill="BABABA"/>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p>
        </w:tc>
      </w:tr>
      <w:tr w:rsidR="00A3631D" w:rsidRPr="00A3631D" w:rsidTr="00A3631D">
        <w:trPr>
          <w:tblCellSpacing w:w="7" w:type="dxa"/>
          <w:jc w:val="center"/>
        </w:trPr>
        <w:tc>
          <w:tcPr>
            <w:tcW w:w="3054"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4</w:t>
            </w:r>
          </w:p>
        </w:tc>
        <w:tc>
          <w:tcPr>
            <w:tcW w:w="1441"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高水平团队</w:t>
            </w:r>
          </w:p>
        </w:tc>
        <w:tc>
          <w:tcPr>
            <w:tcW w:w="4050" w:type="dxa"/>
            <w:gridSpan w:val="3"/>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团队成员的个人待遇参照上述标准执行，团队建设费、科研费等面议。</w:t>
            </w:r>
          </w:p>
        </w:tc>
        <w:tc>
          <w:tcPr>
            <w:tcW w:w="1128" w:type="dxa"/>
            <w:vMerge/>
            <w:shd w:val="clear" w:color="auto" w:fill="BABABA"/>
            <w:vAlign w:val="center"/>
            <w:hideMark/>
          </w:tcPr>
          <w:p w:rsidR="00A3631D" w:rsidRPr="00A3631D" w:rsidRDefault="00A3631D" w:rsidP="00A3631D">
            <w:pPr>
              <w:widowControl/>
              <w:wordWrap w:val="0"/>
              <w:spacing w:line="300" w:lineRule="atLeast"/>
              <w:jc w:val="left"/>
              <w:rPr>
                <w:rFonts w:ascii="微软雅黑" w:eastAsia="微软雅黑" w:hAnsi="微软雅黑" w:cs="宋体"/>
                <w:color w:val="000000"/>
                <w:kern w:val="0"/>
                <w:sz w:val="18"/>
                <w:szCs w:val="18"/>
              </w:rPr>
            </w:pPr>
          </w:p>
        </w:tc>
      </w:tr>
    </w:tbl>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lastRenderedPageBreak/>
        <w:t>具体待遇根据业绩成果和水平实行一人一议，可在上述待遇标准基础上浮动，特别优秀的领军人才，相关引进待遇可以面议。</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b/>
          <w:bCs/>
          <w:color w:val="313131"/>
          <w:kern w:val="0"/>
          <w:sz w:val="23"/>
          <w:szCs w:val="23"/>
        </w:rPr>
        <w:t>（二）优惠政策</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1、低职高聘：经学校认定为业绩成果突出的博士，进校后可享受三年副教授七级岗待遇（具有副教授职称的，经过认定可高聘一级），博士后人员进校后可享受三年副教授六级岗待遇，三年后按照实际专业技术岗位等级享受待遇。特别优秀人才可以实行年薪制，具体面议。</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2、过渡性住房：引进人员在未购买商品房前，可以租用校内周转房（使用时间不超过两年），或者享受最长不超过两年的租房补贴，标准为2000元/月；特别优秀人才面议，一般不超过3000元/月。</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3、符合条件的可享受扬州市人才引进6万元的补贴及购房公积金3倍贷款的优惠政策。</w:t>
      </w:r>
    </w:p>
    <w:p w:rsidR="00A3631D" w:rsidRPr="00A3631D" w:rsidRDefault="00A3631D" w:rsidP="00A3631D">
      <w:pPr>
        <w:widowControl/>
        <w:pBdr>
          <w:bottom w:val="dashed" w:sz="6" w:space="6" w:color="E2E2E2"/>
        </w:pBdr>
        <w:ind w:left="375"/>
        <w:jc w:val="left"/>
        <w:outlineLvl w:val="3"/>
        <w:rPr>
          <w:rFonts w:ascii="微软雅黑" w:eastAsia="微软雅黑" w:hAnsi="微软雅黑" w:cs="宋体"/>
          <w:b/>
          <w:bCs/>
          <w:color w:val="E16204"/>
          <w:kern w:val="0"/>
          <w:sz w:val="27"/>
          <w:szCs w:val="27"/>
        </w:rPr>
      </w:pPr>
      <w:bookmarkStart w:id="2" w:name="3"/>
      <w:bookmarkEnd w:id="2"/>
      <w:r w:rsidRPr="00A3631D">
        <w:rPr>
          <w:rFonts w:ascii="微软雅黑" w:eastAsia="微软雅黑" w:hAnsi="微软雅黑" w:cs="宋体" w:hint="eastAsia"/>
          <w:b/>
          <w:bCs/>
          <w:color w:val="E16204"/>
          <w:kern w:val="0"/>
          <w:sz w:val="27"/>
          <w:szCs w:val="27"/>
        </w:rPr>
        <w:t>三、需求专业及联系方式</w:t>
      </w:r>
    </w:p>
    <w:tbl>
      <w:tblPr>
        <w:tblW w:w="6315"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BABA"/>
        <w:tblCellMar>
          <w:top w:w="15" w:type="dxa"/>
          <w:left w:w="15" w:type="dxa"/>
          <w:bottom w:w="15" w:type="dxa"/>
          <w:right w:w="15" w:type="dxa"/>
        </w:tblCellMar>
        <w:tblLook w:val="04A0"/>
      </w:tblPr>
      <w:tblGrid>
        <w:gridCol w:w="1024"/>
        <w:gridCol w:w="1468"/>
        <w:gridCol w:w="6162"/>
        <w:gridCol w:w="2200"/>
      </w:tblGrid>
      <w:tr w:rsidR="00A3631D" w:rsidRPr="00A3631D" w:rsidTr="00630E73">
        <w:trPr>
          <w:tblHeader/>
          <w:tblCellSpacing w:w="7" w:type="dxa"/>
          <w:jc w:val="center"/>
        </w:trPr>
        <w:tc>
          <w:tcPr>
            <w:tcW w:w="970" w:type="dxa"/>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序号</w:t>
            </w:r>
          </w:p>
        </w:tc>
        <w:tc>
          <w:tcPr>
            <w:tcW w:w="1405" w:type="dxa"/>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招聘</w:t>
            </w:r>
            <w:r w:rsidRPr="00A3631D">
              <w:rPr>
                <w:rFonts w:ascii="微软雅黑" w:eastAsia="微软雅黑" w:hAnsi="微软雅黑" w:cs="宋体" w:hint="eastAsia"/>
                <w:b/>
                <w:bCs/>
                <w:color w:val="FFFFFF"/>
                <w:kern w:val="0"/>
                <w:sz w:val="23"/>
                <w:szCs w:val="23"/>
              </w:rPr>
              <w:br/>
              <w:t>部门</w:t>
            </w:r>
          </w:p>
        </w:tc>
        <w:tc>
          <w:tcPr>
            <w:tcW w:w="5940" w:type="dxa"/>
            <w:shd w:val="clear" w:color="auto" w:fill="000033"/>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专业要求</w:t>
            </w:r>
          </w:p>
        </w:tc>
        <w:tc>
          <w:tcPr>
            <w:tcW w:w="2105" w:type="dxa"/>
            <w:shd w:val="clear" w:color="auto" w:fill="FFFFFF"/>
            <w:tcMar>
              <w:top w:w="120" w:type="dxa"/>
              <w:left w:w="120" w:type="dxa"/>
              <w:bottom w:w="120" w:type="dxa"/>
              <w:right w:w="120"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b/>
                <w:bCs/>
                <w:color w:val="FFFFFF"/>
                <w:kern w:val="0"/>
                <w:sz w:val="23"/>
                <w:szCs w:val="23"/>
              </w:rPr>
            </w:pPr>
            <w:r w:rsidRPr="00A3631D">
              <w:rPr>
                <w:rFonts w:ascii="微软雅黑" w:eastAsia="微软雅黑" w:hAnsi="微软雅黑" w:cs="宋体" w:hint="eastAsia"/>
                <w:b/>
                <w:bCs/>
                <w:color w:val="FFFFFF"/>
                <w:kern w:val="0"/>
                <w:sz w:val="23"/>
                <w:szCs w:val="23"/>
              </w:rPr>
              <w:t>学历或</w:t>
            </w:r>
            <w:r w:rsidRPr="00A3631D">
              <w:rPr>
                <w:rFonts w:ascii="微软雅黑" w:eastAsia="微软雅黑" w:hAnsi="微软雅黑" w:cs="宋体" w:hint="eastAsia"/>
                <w:b/>
                <w:bCs/>
                <w:color w:val="FFFFFF"/>
                <w:kern w:val="0"/>
                <w:sz w:val="23"/>
                <w:szCs w:val="23"/>
              </w:rPr>
              <w:br/>
              <w:t>职称</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1</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化学工程学院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化学工程类（化学工程，化学工艺，应用化学，化学，工业催化，化学工程与技术，有机化学）、医药化工类（药物化学，微生物与生化药学，制药工程）</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2</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智能制造学院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机电控制类、机械工程类、电气类、农业工程类、材料类、仪表仪器及测试技术类等相关专业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3</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建筑工程学院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土木工程大类、交通工程类、管理科学与工程（土木工程</w:t>
            </w:r>
            <w:r w:rsidRPr="00A3631D">
              <w:rPr>
                <w:rFonts w:ascii="微软雅黑" w:eastAsia="微软雅黑" w:hAnsi="微软雅黑" w:cs="宋体" w:hint="eastAsia"/>
                <w:color w:val="000000"/>
                <w:kern w:val="0"/>
                <w:sz w:val="18"/>
                <w:szCs w:val="18"/>
              </w:rPr>
              <w:br/>
              <w:t>管理方向）、力学类等相关专业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4</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商学院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工商管理类、商务贸易类、财务财会类、经济类、公共管理类等相关专业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5</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信息工程学院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电子信息大类、计算机大类等相关专业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lastRenderedPageBreak/>
              <w:t>6</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艺术设计学院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艺术类、城建规划类、园艺学、林业工程类、建筑学、风景园林学等相关专业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7</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交通工程学院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交通运输类、机械工程类、材料类、电气工程类等相关专业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8</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马克思主义学院</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马克思主义理论大类、中共党史、历史学、法学大类、哲学大类、思想政治教育等相关专业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9</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基础科学部</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汉语言文学类、英语语言文学类、数学类、教育学等相关专业</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博士研究生或正高</w:t>
            </w:r>
          </w:p>
        </w:tc>
      </w:tr>
      <w:tr w:rsidR="00A3631D" w:rsidRPr="00A3631D" w:rsidTr="00630E73">
        <w:trPr>
          <w:tblCellSpacing w:w="7" w:type="dxa"/>
          <w:jc w:val="center"/>
        </w:trPr>
        <w:tc>
          <w:tcPr>
            <w:tcW w:w="97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10</w:t>
            </w:r>
          </w:p>
        </w:tc>
        <w:tc>
          <w:tcPr>
            <w:tcW w:w="14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人事处</w:t>
            </w:r>
          </w:p>
        </w:tc>
        <w:tc>
          <w:tcPr>
            <w:tcW w:w="5940"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省“大工匠”、省有突出贡献的技师、省首席技师等高技能人才</w:t>
            </w:r>
          </w:p>
        </w:tc>
        <w:tc>
          <w:tcPr>
            <w:tcW w:w="2105" w:type="dxa"/>
            <w:shd w:val="clear" w:color="auto" w:fill="F6F8FE"/>
            <w:tcMar>
              <w:top w:w="75" w:type="dxa"/>
              <w:left w:w="75" w:type="dxa"/>
              <w:bottom w:w="75" w:type="dxa"/>
              <w:right w:w="75" w:type="dxa"/>
            </w:tcMar>
            <w:vAlign w:val="center"/>
            <w:hideMark/>
          </w:tcPr>
          <w:p w:rsidR="00A3631D" w:rsidRPr="00A3631D" w:rsidRDefault="00A3631D" w:rsidP="00A3631D">
            <w:pPr>
              <w:widowControl/>
              <w:wordWrap w:val="0"/>
              <w:spacing w:line="300" w:lineRule="atLeast"/>
              <w:jc w:val="center"/>
              <w:rPr>
                <w:rFonts w:ascii="微软雅黑" w:eastAsia="微软雅黑" w:hAnsi="微软雅黑" w:cs="宋体"/>
                <w:color w:val="000000"/>
                <w:kern w:val="0"/>
                <w:sz w:val="18"/>
                <w:szCs w:val="18"/>
              </w:rPr>
            </w:pPr>
            <w:r w:rsidRPr="00A3631D">
              <w:rPr>
                <w:rFonts w:ascii="微软雅黑" w:eastAsia="微软雅黑" w:hAnsi="微软雅黑" w:cs="宋体" w:hint="eastAsia"/>
                <w:color w:val="000000"/>
                <w:kern w:val="0"/>
                <w:sz w:val="18"/>
                <w:szCs w:val="18"/>
              </w:rPr>
              <w:t> </w:t>
            </w:r>
          </w:p>
        </w:tc>
      </w:tr>
    </w:tbl>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注：引进方式除编制内引进外，也可通过柔性引进的方式实施，具体待遇面议。</w:t>
      </w:r>
    </w:p>
    <w:p w:rsidR="00A3631D" w:rsidRPr="00A3631D" w:rsidRDefault="00A3631D" w:rsidP="00A3631D">
      <w:pPr>
        <w:widowControl/>
        <w:pBdr>
          <w:bottom w:val="dashed" w:sz="6" w:space="6" w:color="E2E2E2"/>
        </w:pBdr>
        <w:ind w:left="375"/>
        <w:jc w:val="left"/>
        <w:outlineLvl w:val="3"/>
        <w:rPr>
          <w:rFonts w:ascii="微软雅黑" w:eastAsia="微软雅黑" w:hAnsi="微软雅黑" w:cs="宋体"/>
          <w:b/>
          <w:bCs/>
          <w:color w:val="E16204"/>
          <w:kern w:val="0"/>
          <w:sz w:val="27"/>
          <w:szCs w:val="27"/>
        </w:rPr>
      </w:pPr>
      <w:bookmarkStart w:id="3" w:name="4"/>
      <w:bookmarkEnd w:id="3"/>
      <w:r w:rsidRPr="00A3631D">
        <w:rPr>
          <w:rFonts w:ascii="微软雅黑" w:eastAsia="微软雅黑" w:hAnsi="微软雅黑" w:cs="宋体" w:hint="eastAsia"/>
          <w:b/>
          <w:bCs/>
          <w:color w:val="E16204"/>
          <w:kern w:val="0"/>
          <w:sz w:val="27"/>
          <w:szCs w:val="27"/>
        </w:rPr>
        <w:t>四、报名方式</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符合条件的人员将个人简历发送至学校人才工作办公室邮箱</w:t>
      </w:r>
      <w:hyperlink r:id="rId5" w:history="1">
        <w:r w:rsidRPr="00A3631D">
          <w:rPr>
            <w:rFonts w:ascii="微软雅黑" w:eastAsia="微软雅黑" w:hAnsi="微软雅黑" w:cs="宋体" w:hint="eastAsia"/>
            <w:color w:val="FF0000"/>
            <w:kern w:val="0"/>
            <w:sz w:val="23"/>
            <w:szCs w:val="23"/>
            <w:u w:val="single"/>
          </w:rPr>
          <w:t>rsc_fu@163.com</w:t>
        </w:r>
      </w:hyperlink>
      <w:r w:rsidRPr="00A3631D">
        <w:rPr>
          <w:rFonts w:ascii="微软雅黑" w:eastAsia="微软雅黑" w:hAnsi="微软雅黑" w:cs="宋体" w:hint="eastAsia"/>
          <w:color w:val="313131"/>
          <w:kern w:val="0"/>
          <w:sz w:val="23"/>
          <w:szCs w:val="23"/>
        </w:rPr>
        <w:t xml:space="preserve">， </w:t>
      </w:r>
    </w:p>
    <w:p w:rsidR="00A3631D" w:rsidRPr="00A3631D" w:rsidRDefault="00A3631D" w:rsidP="00A3631D">
      <w:pPr>
        <w:widowControl/>
        <w:pBdr>
          <w:bottom w:val="dashed" w:sz="6" w:space="6" w:color="E2E2E2"/>
        </w:pBdr>
        <w:ind w:left="375"/>
        <w:jc w:val="left"/>
        <w:outlineLvl w:val="3"/>
        <w:rPr>
          <w:rFonts w:ascii="微软雅黑" w:eastAsia="微软雅黑" w:hAnsi="微软雅黑" w:cs="宋体"/>
          <w:b/>
          <w:bCs/>
          <w:color w:val="E16204"/>
          <w:kern w:val="0"/>
          <w:sz w:val="27"/>
          <w:szCs w:val="27"/>
        </w:rPr>
      </w:pPr>
      <w:bookmarkStart w:id="4" w:name="5"/>
      <w:bookmarkEnd w:id="4"/>
      <w:r w:rsidRPr="00A3631D">
        <w:rPr>
          <w:rFonts w:ascii="微软雅黑" w:eastAsia="微软雅黑" w:hAnsi="微软雅黑" w:cs="宋体" w:hint="eastAsia"/>
          <w:b/>
          <w:bCs/>
          <w:color w:val="E16204"/>
          <w:kern w:val="0"/>
          <w:sz w:val="27"/>
          <w:szCs w:val="27"/>
        </w:rPr>
        <w:t>五、学校联系方式</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联系人：康老师、张老师、梁老师</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联系电话：0514-87433389</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电子邮箱：</w:t>
      </w:r>
      <w:hyperlink r:id="rId6" w:history="1">
        <w:r w:rsidR="00630E73" w:rsidRPr="00A3631D">
          <w:rPr>
            <w:rFonts w:ascii="微软雅黑" w:eastAsia="微软雅黑" w:hAnsi="微软雅黑" w:cs="宋体" w:hint="eastAsia"/>
            <w:color w:val="FF0000"/>
            <w:kern w:val="0"/>
            <w:sz w:val="23"/>
            <w:szCs w:val="23"/>
            <w:u w:val="single"/>
          </w:rPr>
          <w:t>rsc_fu@163.com</w:t>
        </w:r>
      </w:hyperlink>
      <w:r w:rsidR="00630E73" w:rsidRPr="00A3631D">
        <w:rPr>
          <w:rFonts w:ascii="微软雅黑" w:eastAsia="微软雅黑" w:hAnsi="微软雅黑" w:cs="宋体" w:hint="eastAsia"/>
          <w:color w:val="313131"/>
          <w:kern w:val="0"/>
          <w:sz w:val="23"/>
          <w:szCs w:val="23"/>
        </w:rPr>
        <w:t>，</w:t>
      </w:r>
    </w:p>
    <w:p w:rsidR="00A3631D" w:rsidRPr="00A3631D" w:rsidRDefault="00A3631D" w:rsidP="00A3631D">
      <w:pPr>
        <w:widowControl/>
        <w:spacing w:before="75" w:after="75" w:line="420" w:lineRule="atLeast"/>
        <w:ind w:firstLine="450"/>
        <w:jc w:val="left"/>
        <w:rPr>
          <w:rFonts w:ascii="微软雅黑" w:eastAsia="微软雅黑" w:hAnsi="微软雅黑" w:cs="宋体"/>
          <w:color w:val="313131"/>
          <w:kern w:val="0"/>
          <w:sz w:val="23"/>
          <w:szCs w:val="23"/>
        </w:rPr>
      </w:pPr>
      <w:r w:rsidRPr="00A3631D">
        <w:rPr>
          <w:rFonts w:ascii="微软雅黑" w:eastAsia="微软雅黑" w:hAnsi="微软雅黑" w:cs="宋体" w:hint="eastAsia"/>
          <w:color w:val="313131"/>
          <w:kern w:val="0"/>
          <w:sz w:val="23"/>
          <w:szCs w:val="23"/>
        </w:rPr>
        <w:t>学校地址：江苏省扬州市华扬西路199号</w:t>
      </w:r>
    </w:p>
    <w:sectPr w:rsidR="00A3631D" w:rsidRPr="00A3631D" w:rsidSect="004942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hakuyoxingshu7000"/>
    <w:charset w:val="86"/>
    <w:family w:val="auto"/>
    <w:pitch w:val="variable"/>
    <w:sig w:usb0="00000000" w:usb1="080F0000" w:usb2="00000010" w:usb3="00000000" w:csb0="0004009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0DCC"/>
    <w:rsid w:val="0049424A"/>
    <w:rsid w:val="00630E73"/>
    <w:rsid w:val="00660DCC"/>
    <w:rsid w:val="009E62BE"/>
    <w:rsid w:val="00A3631D"/>
    <w:rsid w:val="00B00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4A"/>
    <w:pPr>
      <w:widowControl w:val="0"/>
      <w:jc w:val="both"/>
    </w:pPr>
  </w:style>
  <w:style w:type="paragraph" w:styleId="4">
    <w:name w:val="heading 4"/>
    <w:basedOn w:val="a"/>
    <w:link w:val="4Char"/>
    <w:uiPriority w:val="9"/>
    <w:qFormat/>
    <w:rsid w:val="00A3631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3631D"/>
    <w:rPr>
      <w:rFonts w:ascii="宋体" w:eastAsia="宋体" w:hAnsi="宋体" w:cs="宋体"/>
      <w:b/>
      <w:bCs/>
      <w:kern w:val="0"/>
      <w:sz w:val="24"/>
      <w:szCs w:val="24"/>
    </w:rPr>
  </w:style>
  <w:style w:type="paragraph" w:styleId="a3">
    <w:name w:val="Normal (Web)"/>
    <w:basedOn w:val="a"/>
    <w:uiPriority w:val="99"/>
    <w:semiHidden/>
    <w:unhideWhenUsed/>
    <w:rsid w:val="00A3631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3631D"/>
    <w:rPr>
      <w:color w:val="0000FF"/>
      <w:u w:val="single"/>
    </w:rPr>
  </w:style>
</w:styles>
</file>

<file path=word/webSettings.xml><?xml version="1.0" encoding="utf-8"?>
<w:webSettings xmlns:r="http://schemas.openxmlformats.org/officeDocument/2006/relationships" xmlns:w="http://schemas.openxmlformats.org/wordprocessingml/2006/main">
  <w:divs>
    <w:div w:id="1568565317">
      <w:bodyDiv w:val="1"/>
      <w:marLeft w:val="0"/>
      <w:marRight w:val="0"/>
      <w:marTop w:val="0"/>
      <w:marBottom w:val="0"/>
      <w:divBdr>
        <w:top w:val="none" w:sz="0" w:space="0" w:color="auto"/>
        <w:left w:val="none" w:sz="0" w:space="0" w:color="auto"/>
        <w:bottom w:val="none" w:sz="0" w:space="0" w:color="auto"/>
        <w:right w:val="none" w:sz="0" w:space="0" w:color="auto"/>
      </w:divBdr>
      <w:divsChild>
        <w:div w:id="139081455">
          <w:marLeft w:val="0"/>
          <w:marRight w:val="0"/>
          <w:marTop w:val="0"/>
          <w:marBottom w:val="0"/>
          <w:divBdr>
            <w:top w:val="none" w:sz="0" w:space="0" w:color="auto"/>
            <w:left w:val="none" w:sz="0" w:space="0" w:color="auto"/>
            <w:bottom w:val="none" w:sz="0" w:space="0" w:color="auto"/>
            <w:right w:val="none" w:sz="0" w:space="0" w:color="auto"/>
          </w:divBdr>
        </w:div>
        <w:div w:id="412968202">
          <w:marLeft w:val="0"/>
          <w:marRight w:val="0"/>
          <w:marTop w:val="0"/>
          <w:marBottom w:val="0"/>
          <w:divBdr>
            <w:top w:val="none" w:sz="0" w:space="0" w:color="auto"/>
            <w:left w:val="none" w:sz="0" w:space="0" w:color="auto"/>
            <w:bottom w:val="none" w:sz="0" w:space="0" w:color="auto"/>
            <w:right w:val="none" w:sz="0" w:space="0" w:color="auto"/>
          </w:divBdr>
        </w:div>
        <w:div w:id="1391809646">
          <w:marLeft w:val="0"/>
          <w:marRight w:val="0"/>
          <w:marTop w:val="0"/>
          <w:marBottom w:val="0"/>
          <w:divBdr>
            <w:top w:val="none" w:sz="0" w:space="0" w:color="auto"/>
            <w:left w:val="none" w:sz="0" w:space="0" w:color="auto"/>
            <w:bottom w:val="none" w:sz="0" w:space="0" w:color="auto"/>
            <w:right w:val="none" w:sz="0" w:space="0" w:color="auto"/>
          </w:divBdr>
        </w:div>
        <w:div w:id="628979090">
          <w:marLeft w:val="0"/>
          <w:marRight w:val="0"/>
          <w:marTop w:val="0"/>
          <w:marBottom w:val="0"/>
          <w:divBdr>
            <w:top w:val="none" w:sz="0" w:space="0" w:color="auto"/>
            <w:left w:val="none" w:sz="0" w:space="0" w:color="auto"/>
            <w:bottom w:val="none" w:sz="0" w:space="0" w:color="auto"/>
            <w:right w:val="none" w:sz="0" w:space="0" w:color="auto"/>
          </w:divBdr>
        </w:div>
        <w:div w:id="59905259">
          <w:marLeft w:val="0"/>
          <w:marRight w:val="0"/>
          <w:marTop w:val="0"/>
          <w:marBottom w:val="0"/>
          <w:divBdr>
            <w:top w:val="none" w:sz="0" w:space="0" w:color="auto"/>
            <w:left w:val="none" w:sz="0" w:space="0" w:color="auto"/>
            <w:bottom w:val="none" w:sz="0" w:space="0" w:color="auto"/>
            <w:right w:val="none" w:sz="0" w:space="0" w:color="auto"/>
          </w:divBdr>
        </w:div>
        <w:div w:id="121773653">
          <w:marLeft w:val="0"/>
          <w:marRight w:val="0"/>
          <w:marTop w:val="0"/>
          <w:marBottom w:val="0"/>
          <w:divBdr>
            <w:top w:val="none" w:sz="0" w:space="0" w:color="auto"/>
            <w:left w:val="none" w:sz="0" w:space="0" w:color="auto"/>
            <w:bottom w:val="none" w:sz="0" w:space="0" w:color="auto"/>
            <w:right w:val="none" w:sz="0" w:space="0" w:color="auto"/>
          </w:divBdr>
        </w:div>
        <w:div w:id="806094819">
          <w:marLeft w:val="0"/>
          <w:marRight w:val="0"/>
          <w:marTop w:val="0"/>
          <w:marBottom w:val="0"/>
          <w:divBdr>
            <w:top w:val="none" w:sz="0" w:space="0" w:color="auto"/>
            <w:left w:val="none" w:sz="0" w:space="0" w:color="auto"/>
            <w:bottom w:val="none" w:sz="0" w:space="0" w:color="auto"/>
            <w:right w:val="none" w:sz="0" w:space="0" w:color="auto"/>
          </w:divBdr>
        </w:div>
        <w:div w:id="709570120">
          <w:marLeft w:val="0"/>
          <w:marRight w:val="0"/>
          <w:marTop w:val="0"/>
          <w:marBottom w:val="0"/>
          <w:divBdr>
            <w:top w:val="none" w:sz="0" w:space="0" w:color="auto"/>
            <w:left w:val="none" w:sz="0" w:space="0" w:color="auto"/>
            <w:bottom w:val="none" w:sz="0" w:space="0" w:color="auto"/>
            <w:right w:val="none" w:sz="0" w:space="0" w:color="auto"/>
          </w:divBdr>
        </w:div>
        <w:div w:id="598365938">
          <w:marLeft w:val="0"/>
          <w:marRight w:val="0"/>
          <w:marTop w:val="0"/>
          <w:marBottom w:val="0"/>
          <w:divBdr>
            <w:top w:val="none" w:sz="0" w:space="0" w:color="auto"/>
            <w:left w:val="none" w:sz="0" w:space="0" w:color="auto"/>
            <w:bottom w:val="none" w:sz="0" w:space="0" w:color="auto"/>
            <w:right w:val="none" w:sz="0" w:space="0" w:color="auto"/>
          </w:divBdr>
        </w:div>
        <w:div w:id="61914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_fu@163.com" TargetMode="External"/><Relationship Id="rId5" Type="http://schemas.openxmlformats.org/officeDocument/2006/relationships/hyperlink" Target="mailto:rsc_fu@163.com" TargetMode="External"/><Relationship Id="rId4" Type="http://schemas.openxmlformats.org/officeDocument/2006/relationships/hyperlink" Target="http://zph91boshi.mikecrm.com/tC3dpP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Administrator</cp:lastModifiedBy>
  <cp:revision>16</cp:revision>
  <dcterms:created xsi:type="dcterms:W3CDTF">2020-04-10T08:02:00Z</dcterms:created>
  <dcterms:modified xsi:type="dcterms:W3CDTF">2020-05-15T07:53:00Z</dcterms:modified>
</cp:coreProperties>
</file>