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B8E" w:rsidRPr="00151B8E" w:rsidRDefault="00151B8E" w:rsidP="00151B8E">
      <w:pPr>
        <w:widowControl/>
        <w:jc w:val="center"/>
        <w:outlineLvl w:val="0"/>
        <w:rPr>
          <w:rFonts w:ascii="微软雅黑" w:eastAsia="微软雅黑" w:hAnsi="微软雅黑" w:cs="宋体"/>
          <w:b/>
          <w:bCs/>
          <w:color w:val="000000"/>
          <w:kern w:val="36"/>
          <w:sz w:val="38"/>
          <w:szCs w:val="38"/>
        </w:rPr>
      </w:pPr>
      <w:r w:rsidRPr="00151B8E">
        <w:rPr>
          <w:rFonts w:ascii="微软雅黑" w:eastAsia="微软雅黑" w:hAnsi="微软雅黑" w:cs="宋体" w:hint="eastAsia"/>
          <w:b/>
          <w:bCs/>
          <w:color w:val="000000"/>
          <w:kern w:val="36"/>
          <w:sz w:val="38"/>
          <w:szCs w:val="38"/>
        </w:rPr>
        <w:t>浙江师范大学简介</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color w:val="2E2E2E"/>
          <w:kern w:val="0"/>
          <w:sz w:val="23"/>
          <w:szCs w:val="23"/>
        </w:rPr>
        <w:t>浙江师范大学主校区位于浙中历史文化名城金华，前身为成立于1956年的杭州师范专科学校，1985年更名为浙江师范大学。学校自2011年起连续9年在有影响力的大学排行中进入全国百强。2015年被确定为浙江省首批重点建设高校。浙江省近一半在职特级教师和普通高中特色示范学校校长为我校校友，学校被誉为"浙江省基础教育师资的摇篮"。</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color w:val="2E2E2E"/>
          <w:kern w:val="0"/>
          <w:sz w:val="23"/>
          <w:szCs w:val="23"/>
        </w:rPr>
        <w:t>现诚邀广大海内外高层次人才（杰出教授、"双龙学者"特聘教授）与优秀青年博士加盟我校。所有引进人才，在首聘期内达到一定的教学科研目标，金华校区可以获赠一定面积的住房，杭州校区可以获赠丰厚安家费。期待与各位优秀人才一起逐梦一流！</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【全力打造人才沃土</w:t>
      </w:r>
      <w:r w:rsidRPr="00151B8E">
        <w:rPr>
          <w:rFonts w:ascii="微软雅黑" w:eastAsia="微软雅黑" w:hAnsi="微软雅黑" w:cs="宋体" w:hint="eastAsia"/>
          <w:color w:val="2E2E2E"/>
          <w:kern w:val="0"/>
          <w:sz w:val="23"/>
          <w:szCs w:val="23"/>
        </w:rPr>
        <w:t>】</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color w:val="2E2E2E"/>
          <w:kern w:val="0"/>
          <w:sz w:val="23"/>
          <w:szCs w:val="23"/>
        </w:rPr>
        <w:t>学校秉承"砺学砺行、维实维新"校训精神，统筹推进一流大学、一流学科建设，以浙江省重点高校建设为契机，按"精教育、强人文、特理工、优交叉"的思路，调整优化学科专业布局，推进学科造峰，重点培育和形成了一批高水平的优势学科、特色学科和重点研究领域，是各类优秀人才大展身手的良好舞台。</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（一）事业平台优势。</w:t>
      </w:r>
      <w:r w:rsidRPr="00151B8E">
        <w:rPr>
          <w:rFonts w:ascii="微软雅黑" w:eastAsia="微软雅黑" w:hAnsi="微软雅黑" w:cs="宋体" w:hint="eastAsia"/>
          <w:color w:val="2E2E2E"/>
          <w:kern w:val="0"/>
          <w:sz w:val="23"/>
          <w:szCs w:val="23"/>
        </w:rPr>
        <w:t>学校经过六十余年的艰苦奋斗，已在一系列学科领域崭露头角，学科建设成效显著。学校拥有20个省一流学科，并列省属高校之首。在教育部第四轮学科评估中，10个学科获评B级以上，列浙江省属高校前列。学校拥有省部级科研平台34个，教师队伍中不乏中科院院士等高层次人才，仅本校培养的长江学者就有5人。学校学科建设目前已进入稳健发展阶段，优秀人才加盟我校，</w:t>
      </w:r>
      <w:r w:rsidRPr="00151B8E">
        <w:rPr>
          <w:rFonts w:ascii="微软雅黑" w:eastAsia="微软雅黑" w:hAnsi="微软雅黑" w:cs="宋体" w:hint="eastAsia"/>
          <w:color w:val="2E2E2E"/>
          <w:kern w:val="0"/>
          <w:sz w:val="23"/>
          <w:szCs w:val="23"/>
        </w:rPr>
        <w:lastRenderedPageBreak/>
        <w:t>达到研究生导师条件的优秀青年博士在入职当年或次年可招收研究生，学科的硬件、软件及团队力量可以迅速形成合力。</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（二）生活保障优势。</w:t>
      </w:r>
      <w:r w:rsidRPr="00151B8E">
        <w:rPr>
          <w:rFonts w:ascii="微软雅黑" w:eastAsia="微软雅黑" w:hAnsi="微软雅黑" w:cs="宋体" w:hint="eastAsia"/>
          <w:color w:val="2E2E2E"/>
          <w:kern w:val="0"/>
          <w:sz w:val="23"/>
          <w:szCs w:val="23"/>
        </w:rPr>
        <w:t>学校根据政策提供有竞争力的薪酬和安家费，特别是能够提供住房、周转公寓，学校生活社区配套完善，能尽快实现安居乐业；学校拥有自幼儿园至高中段全系列优质附属学校，全力协助子女入园、入学，并在入境、落户、配偶工作安置医疗保健等方面，积极做好相关服务工作，帮助优秀人才尽快融入环境。</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（三）工作环境优势。</w:t>
      </w:r>
      <w:r w:rsidRPr="00151B8E">
        <w:rPr>
          <w:rFonts w:ascii="微软雅黑" w:eastAsia="微软雅黑" w:hAnsi="微软雅黑" w:cs="宋体" w:hint="eastAsia"/>
          <w:color w:val="2E2E2E"/>
          <w:kern w:val="0"/>
          <w:sz w:val="23"/>
          <w:szCs w:val="23"/>
        </w:rPr>
        <w:t>学校是近十年来我国进步最快的高校之一，学校处于特色鲜明一流大学建设的关键时期，充满朝气与活力。教师学缘多样开放。学校为优秀人才提供良好的工作条件；提供充足的科研启动费；在团队建设、研究生招生、重大科研项目申请、奖项申报等方面给予倾斜支持；提供良好的办公和实验条件，帮助组建或融入科研团队，根据需要配备科研助手，并视个人及团队建设发展需要后续追加支持。发展就是机遇，优秀人才加盟我校，具有良好的自我实现空间。</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（四）地理区位优势。</w:t>
      </w:r>
      <w:r w:rsidRPr="00151B8E">
        <w:rPr>
          <w:rFonts w:ascii="微软雅黑" w:eastAsia="微软雅黑" w:hAnsi="微软雅黑" w:cs="宋体" w:hint="eastAsia"/>
          <w:color w:val="2E2E2E"/>
          <w:kern w:val="0"/>
          <w:sz w:val="23"/>
          <w:szCs w:val="23"/>
        </w:rPr>
        <w:t>学校本部位于长三角区域的金华市，是浙江省地理中心，拥有高铁枢纽与机场，处于上海两小时经济圈之内，高铁通勤时间距上海1.5小时，距杭州为45分钟；学校在杭州设有文二路校区与萧山校区。在日常出行、学术交流方面，学校具有便捷的区位优势。</w:t>
      </w:r>
    </w:p>
    <w:p w:rsid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sidRPr="00151B8E">
        <w:rPr>
          <w:rFonts w:ascii="微软雅黑" w:eastAsia="微软雅黑" w:hAnsi="微软雅黑" w:cs="宋体" w:hint="eastAsia"/>
          <w:b/>
          <w:bCs/>
          <w:color w:val="2E2E2E"/>
          <w:kern w:val="0"/>
          <w:sz w:val="23"/>
          <w:szCs w:val="23"/>
        </w:rPr>
        <w:t>（五）文化氛围优势。</w:t>
      </w:r>
      <w:r w:rsidRPr="00151B8E">
        <w:rPr>
          <w:rFonts w:ascii="微软雅黑" w:eastAsia="微软雅黑" w:hAnsi="微软雅黑" w:cs="宋体" w:hint="eastAsia"/>
          <w:color w:val="2E2E2E"/>
          <w:kern w:val="0"/>
          <w:sz w:val="23"/>
          <w:szCs w:val="23"/>
        </w:rPr>
        <w:t>金华是浙学发源地，风物清嘉、风俗淳厚，是有名的山水宜居之城、休闲养心之地、健康饮食之都。学校重视协调发展，强调人文关怀。精心建设教工餐厅，构建交流场所。定期组织健康体检与休闲疗养，工会娱乐活动有声有色。优秀人才加盟我校，在安心工作之余，也能拥有心灵栖居的家园。</w:t>
      </w:r>
    </w:p>
    <w:p w:rsidR="00151B8E" w:rsidRDefault="00781924" w:rsidP="00151B8E">
      <w:pPr>
        <w:pStyle w:val="3"/>
        <w:pBdr>
          <w:bottom w:val="single" w:sz="12" w:space="11" w:color="5E2926"/>
        </w:pBdr>
        <w:ind w:left="480" w:right="480"/>
        <w:rPr>
          <w:rFonts w:ascii="微软雅黑" w:eastAsia="微软雅黑" w:hAnsi="微软雅黑"/>
          <w:color w:val="000000"/>
        </w:rPr>
      </w:pPr>
      <w:r>
        <w:rPr>
          <w:rFonts w:ascii="微软雅黑" w:eastAsia="微软雅黑" w:hAnsi="微软雅黑" w:hint="eastAsia"/>
          <w:color w:val="000000"/>
        </w:rPr>
        <w:lastRenderedPageBreak/>
        <w:t>视频招聘宣讲会日程</w:t>
      </w:r>
    </w:p>
    <w:p w:rsid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Pr>
          <w:rFonts w:ascii="微软雅黑" w:eastAsia="微软雅黑" w:hAnsi="微软雅黑" w:cs="宋体" w:hint="eastAsia"/>
          <w:color w:val="2E2E2E"/>
          <w:kern w:val="0"/>
          <w:sz w:val="23"/>
          <w:szCs w:val="23"/>
        </w:rPr>
        <w:t>视频招聘宣讲会日程：2</w:t>
      </w:r>
      <w:r>
        <w:rPr>
          <w:rFonts w:ascii="微软雅黑" w:eastAsia="微软雅黑" w:hAnsi="微软雅黑" w:cs="宋体"/>
          <w:color w:val="2E2E2E"/>
          <w:kern w:val="0"/>
          <w:sz w:val="23"/>
          <w:szCs w:val="23"/>
        </w:rPr>
        <w:t>020</w:t>
      </w:r>
      <w:r>
        <w:rPr>
          <w:rFonts w:ascii="微软雅黑" w:eastAsia="微软雅黑" w:hAnsi="微软雅黑" w:cs="宋体" w:hint="eastAsia"/>
          <w:color w:val="2E2E2E"/>
          <w:kern w:val="0"/>
          <w:sz w:val="23"/>
          <w:szCs w:val="23"/>
        </w:rPr>
        <w:t>年6月1</w:t>
      </w:r>
      <w:r>
        <w:rPr>
          <w:rFonts w:ascii="微软雅黑" w:eastAsia="微软雅黑" w:hAnsi="微软雅黑" w:cs="宋体"/>
          <w:color w:val="2E2E2E"/>
          <w:kern w:val="0"/>
          <w:sz w:val="23"/>
          <w:szCs w:val="23"/>
        </w:rPr>
        <w:t>5</w:t>
      </w:r>
      <w:r>
        <w:rPr>
          <w:rFonts w:ascii="微软雅黑" w:eastAsia="微软雅黑" w:hAnsi="微软雅黑" w:cs="宋体" w:hint="eastAsia"/>
          <w:color w:val="2E2E2E"/>
          <w:kern w:val="0"/>
          <w:sz w:val="23"/>
          <w:szCs w:val="23"/>
        </w:rPr>
        <w:t>日</w:t>
      </w:r>
    </w:p>
    <w:p w:rsid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Pr>
          <w:rFonts w:ascii="微软雅黑" w:eastAsia="微软雅黑" w:hAnsi="微软雅黑" w:cs="宋体" w:hint="eastAsia"/>
          <w:color w:val="2E2E2E"/>
          <w:kern w:val="0"/>
          <w:sz w:val="23"/>
          <w:szCs w:val="23"/>
        </w:rPr>
        <w:t>时间：北京时间上午</w:t>
      </w:r>
      <w:r w:rsidR="00B55F4D">
        <w:rPr>
          <w:rFonts w:ascii="微软雅黑" w:eastAsia="微软雅黑" w:hAnsi="微软雅黑" w:cs="宋体" w:hint="eastAsia"/>
          <w:color w:val="2E2E2E"/>
          <w:kern w:val="0"/>
          <w:sz w:val="23"/>
          <w:szCs w:val="23"/>
        </w:rPr>
        <w:t>：</w:t>
      </w:r>
      <w:r>
        <w:rPr>
          <w:rFonts w:ascii="微软雅黑" w:eastAsia="微软雅黑" w:hAnsi="微软雅黑" w:cs="宋体" w:hint="eastAsia"/>
          <w:color w:val="2E2E2E"/>
          <w:kern w:val="0"/>
          <w:sz w:val="23"/>
          <w:szCs w:val="23"/>
        </w:rPr>
        <w:t>0</w:t>
      </w:r>
      <w:r>
        <w:rPr>
          <w:rFonts w:ascii="微软雅黑" w:eastAsia="微软雅黑" w:hAnsi="微软雅黑" w:cs="宋体"/>
          <w:color w:val="2E2E2E"/>
          <w:kern w:val="0"/>
          <w:sz w:val="23"/>
          <w:szCs w:val="23"/>
        </w:rPr>
        <w:t>8</w:t>
      </w:r>
      <w:r>
        <w:rPr>
          <w:rFonts w:ascii="微软雅黑" w:eastAsia="微软雅黑" w:hAnsi="微软雅黑" w:cs="宋体" w:hint="eastAsia"/>
          <w:color w:val="2E2E2E"/>
          <w:kern w:val="0"/>
          <w:sz w:val="23"/>
          <w:szCs w:val="23"/>
        </w:rPr>
        <w:t>:</w:t>
      </w:r>
      <w:r>
        <w:rPr>
          <w:rFonts w:ascii="微软雅黑" w:eastAsia="微软雅黑" w:hAnsi="微软雅黑" w:cs="宋体"/>
          <w:color w:val="2E2E2E"/>
          <w:kern w:val="0"/>
          <w:sz w:val="23"/>
          <w:szCs w:val="23"/>
        </w:rPr>
        <w:t>30-11</w:t>
      </w:r>
      <w:r>
        <w:rPr>
          <w:rFonts w:ascii="微软雅黑" w:eastAsia="微软雅黑" w:hAnsi="微软雅黑" w:cs="宋体" w:hint="eastAsia"/>
          <w:color w:val="2E2E2E"/>
          <w:kern w:val="0"/>
          <w:sz w:val="23"/>
          <w:szCs w:val="23"/>
        </w:rPr>
        <w:t>:</w:t>
      </w:r>
      <w:r>
        <w:rPr>
          <w:rFonts w:ascii="微软雅黑" w:eastAsia="微软雅黑" w:hAnsi="微软雅黑" w:cs="宋体"/>
          <w:color w:val="2E2E2E"/>
          <w:kern w:val="0"/>
          <w:sz w:val="23"/>
          <w:szCs w:val="23"/>
        </w:rPr>
        <w:t>30</w:t>
      </w:r>
    </w:p>
    <w:p w:rsidR="00151B8E" w:rsidRPr="00151B8E" w:rsidRDefault="00151B8E" w:rsidP="00151B8E">
      <w:pPr>
        <w:widowControl/>
        <w:spacing w:before="225" w:after="225" w:line="525" w:lineRule="atLeast"/>
        <w:ind w:firstLine="450"/>
        <w:jc w:val="left"/>
        <w:rPr>
          <w:rFonts w:ascii="微软雅黑" w:eastAsia="微软雅黑" w:hAnsi="微软雅黑" w:cs="宋体"/>
          <w:color w:val="2E2E2E"/>
          <w:kern w:val="0"/>
          <w:sz w:val="23"/>
          <w:szCs w:val="23"/>
        </w:rPr>
      </w:pPr>
      <w:r>
        <w:rPr>
          <w:rFonts w:ascii="微软雅黑" w:eastAsia="微软雅黑" w:hAnsi="微软雅黑" w:cs="宋体" w:hint="eastAsia"/>
          <w:color w:val="2E2E2E"/>
          <w:kern w:val="0"/>
          <w:sz w:val="23"/>
          <w:szCs w:val="23"/>
        </w:rPr>
        <w:t>报名链接：</w:t>
      </w:r>
      <w:hyperlink r:id="rId4" w:history="1">
        <w:r w:rsidR="00E510F1">
          <w:rPr>
            <w:rStyle w:val="a5"/>
          </w:rPr>
          <w:t>http://sciencehr.mikecrm.com/M9GlmO6</w:t>
        </w:r>
      </w:hyperlink>
      <w:r w:rsidR="00E510F1">
        <w:rPr>
          <w:rFonts w:hint="eastAsia"/>
        </w:rPr>
        <w:t xml:space="preserve"> </w:t>
      </w:r>
      <w:r w:rsidR="00E510F1" w:rsidRPr="00151B8E">
        <w:rPr>
          <w:rFonts w:ascii="微软雅黑" w:eastAsia="微软雅黑" w:hAnsi="微软雅黑" w:cs="宋体"/>
          <w:color w:val="2E2E2E"/>
          <w:kern w:val="0"/>
          <w:sz w:val="23"/>
          <w:szCs w:val="23"/>
        </w:rPr>
        <w:t xml:space="preserve"> </w:t>
      </w:r>
    </w:p>
    <w:p w:rsidR="00151B8E" w:rsidRDefault="00151B8E" w:rsidP="00151B8E">
      <w:pPr>
        <w:pStyle w:val="3"/>
        <w:pBdr>
          <w:bottom w:val="single" w:sz="12" w:space="11" w:color="5E2926"/>
        </w:pBdr>
        <w:ind w:left="480" w:right="480"/>
        <w:rPr>
          <w:rFonts w:ascii="微软雅黑" w:eastAsia="微软雅黑" w:hAnsi="微软雅黑"/>
          <w:color w:val="000000"/>
        </w:rPr>
      </w:pPr>
      <w:r>
        <w:rPr>
          <w:rFonts w:ascii="微软雅黑" w:eastAsia="微软雅黑" w:hAnsi="微软雅黑" w:hint="eastAsia"/>
          <w:color w:val="000000"/>
        </w:rPr>
        <w:t>引进对象</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国内外知名大学/研究机构毕业的青年博士（年龄一般在35周岁以下，特别优秀的可适当放宽年龄限制）。</w:t>
      </w:r>
    </w:p>
    <w:p w:rsidR="00151B8E" w:rsidRPr="00B55F4D" w:rsidRDefault="00151B8E" w:rsidP="00B55F4D">
      <w:pPr>
        <w:pStyle w:val="3"/>
        <w:pBdr>
          <w:bottom w:val="single" w:sz="12" w:space="11" w:color="5E2926"/>
        </w:pBdr>
        <w:ind w:left="480" w:right="480"/>
        <w:rPr>
          <w:rFonts w:ascii="微软雅黑" w:eastAsia="微软雅黑" w:hAnsi="微软雅黑"/>
          <w:color w:val="000000"/>
          <w:sz w:val="27"/>
          <w:szCs w:val="27"/>
        </w:rPr>
      </w:pPr>
      <w:r>
        <w:rPr>
          <w:rFonts w:ascii="微软雅黑" w:eastAsia="微软雅黑" w:hAnsi="微软雅黑" w:hint="eastAsia"/>
          <w:color w:val="000000"/>
        </w:rPr>
        <w:t>引进待遇</w:t>
      </w:r>
      <w:bookmarkStart w:id="0" w:name="_GoBack"/>
      <w:bookmarkEnd w:id="0"/>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学校对青年人才实行分类（分为A类、B类、C类）奖励政策，鼓励人才创新争先。</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1.住房：</w:t>
      </w:r>
      <w:r>
        <w:rPr>
          <w:rFonts w:ascii="微软雅黑" w:eastAsia="微软雅黑" w:hAnsi="微软雅黑" w:hint="eastAsia"/>
          <w:color w:val="2E2E2E"/>
          <w:sz w:val="23"/>
          <w:szCs w:val="23"/>
        </w:rPr>
        <w:t>完成A类目标任务者，提供住房一套，其中赠送面积80平米；完成B类目标任务者，提供住房一套，其中赠送面积50平米。</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2．过渡房：</w:t>
      </w:r>
      <w:r>
        <w:rPr>
          <w:rFonts w:ascii="微软雅黑" w:eastAsia="微软雅黑" w:hAnsi="微软雅黑" w:hint="eastAsia"/>
          <w:color w:val="2E2E2E"/>
          <w:sz w:val="23"/>
          <w:szCs w:val="23"/>
        </w:rPr>
        <w:t>学校可提供一定数量的60平方米左右房子供过渡居住，选完为止，租期和租金按照学校过渡性住房周转管理办法执行。</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3．科研启动费：</w:t>
      </w:r>
      <w:r>
        <w:rPr>
          <w:rFonts w:ascii="微软雅黑" w:eastAsia="微软雅黑" w:hAnsi="微软雅黑" w:hint="eastAsia"/>
          <w:color w:val="2E2E2E"/>
          <w:sz w:val="23"/>
          <w:szCs w:val="23"/>
        </w:rPr>
        <w:t>青年博士来校正式签约报到后，学校一次性提供（人文社科5万元、理工科10万元）科研启动费。</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lastRenderedPageBreak/>
        <w:t>4．职称：</w:t>
      </w:r>
      <w:r>
        <w:rPr>
          <w:rFonts w:ascii="微软雅黑" w:eastAsia="微软雅黑" w:hAnsi="微软雅黑" w:hint="eastAsia"/>
          <w:color w:val="2E2E2E"/>
          <w:sz w:val="23"/>
          <w:szCs w:val="23"/>
        </w:rPr>
        <w:t>正式报到博士均享受讲师职称，博士后可享受讲师八级岗位，特别优秀者可以聘为青年副教授/教授。</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5．研究生招生：</w:t>
      </w:r>
      <w:r>
        <w:rPr>
          <w:rFonts w:ascii="微软雅黑" w:eastAsia="微软雅黑" w:hAnsi="微软雅黑" w:hint="eastAsia"/>
          <w:color w:val="2E2E2E"/>
          <w:sz w:val="23"/>
          <w:szCs w:val="23"/>
        </w:rPr>
        <w:t>达到研究生导师条件的优秀青年博士在入职当年或次年可招收研究生。</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6．薪酬特殊说明：</w:t>
      </w:r>
      <w:r>
        <w:rPr>
          <w:rFonts w:ascii="微软雅黑" w:eastAsia="微软雅黑" w:hAnsi="微软雅黑" w:hint="eastAsia"/>
          <w:color w:val="2E2E2E"/>
          <w:sz w:val="23"/>
          <w:szCs w:val="23"/>
        </w:rPr>
        <w:t>高峰学科提供18万元年薪(含国家和学校规定的基本工资、绩效工资、各类津贴的总量，以及个人应需缴纳的五险一金) ,首聘期结束后，待遇按照校内教工发放形式、标准执行。</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7.首聘期制度及房产/安家费待遇：</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（1）2020年引进博士实行4年首聘期制度。</w:t>
      </w:r>
    </w:p>
    <w:p w:rsidR="00151B8E" w:rsidRP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（2）首聘期内完成绩效性任务要求（科研业绩计分要求）及提供相关房产/安家待遇（见附表）。</w:t>
      </w:r>
    </w:p>
    <w:p w:rsidR="00151B8E" w:rsidRDefault="00151B8E" w:rsidP="00151B8E">
      <w:pPr>
        <w:pStyle w:val="a3"/>
        <w:spacing w:before="225" w:beforeAutospacing="0" w:after="225" w:afterAutospacing="0" w:line="525" w:lineRule="atLeast"/>
        <w:ind w:firstLine="450"/>
        <w:jc w:val="center"/>
        <w:rPr>
          <w:rFonts w:ascii="微软雅黑" w:eastAsia="微软雅黑" w:hAnsi="微软雅黑"/>
          <w:color w:val="2E2E2E"/>
          <w:sz w:val="23"/>
          <w:szCs w:val="23"/>
        </w:rPr>
      </w:pPr>
    </w:p>
    <w:tbl>
      <w:tblPr>
        <w:tblW w:w="6151" w:type="pct"/>
        <w:jc w:val="center"/>
        <w:tblCellSpacing w:w="7" w:type="dxa"/>
        <w:shd w:val="clear" w:color="auto" w:fill="CCCCCC"/>
        <w:tblCellMar>
          <w:left w:w="0" w:type="dxa"/>
          <w:right w:w="0" w:type="dxa"/>
        </w:tblCellMar>
        <w:tblLook w:val="04A0"/>
      </w:tblPr>
      <w:tblGrid>
        <w:gridCol w:w="1499"/>
        <w:gridCol w:w="2212"/>
        <w:gridCol w:w="1859"/>
        <w:gridCol w:w="2431"/>
        <w:gridCol w:w="2288"/>
      </w:tblGrid>
      <w:tr w:rsidR="00781924" w:rsidTr="00781924">
        <w:trPr>
          <w:tblHeader/>
          <w:tblCellSpacing w:w="7" w:type="dxa"/>
          <w:jc w:val="center"/>
        </w:trPr>
        <w:tc>
          <w:tcPr>
            <w:tcW w:w="1465" w:type="dxa"/>
            <w:vMerge w:val="restart"/>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类别</w:t>
            </w:r>
          </w:p>
        </w:tc>
        <w:tc>
          <w:tcPr>
            <w:tcW w:w="4021" w:type="dxa"/>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文科</w:t>
            </w:r>
          </w:p>
        </w:tc>
        <w:tc>
          <w:tcPr>
            <w:tcW w:w="4656" w:type="dxa"/>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理工科</w:t>
            </w:r>
          </w:p>
        </w:tc>
      </w:tr>
      <w:tr w:rsidR="00781924" w:rsidTr="00781924">
        <w:trPr>
          <w:tblHeader/>
          <w:tblCellSpacing w:w="7" w:type="dxa"/>
          <w:jc w:val="center"/>
        </w:trPr>
        <w:tc>
          <w:tcPr>
            <w:tcW w:w="14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1B8E" w:rsidRDefault="00151B8E">
            <w:pPr>
              <w:wordWrap w:val="0"/>
              <w:spacing w:line="300" w:lineRule="atLeast"/>
              <w:jc w:val="center"/>
              <w:rPr>
                <w:rFonts w:ascii="微软雅黑" w:eastAsia="微软雅黑" w:hAnsi="微软雅黑" w:cs="宋体"/>
                <w:b/>
                <w:bCs/>
                <w:color w:val="000000"/>
                <w:sz w:val="23"/>
                <w:szCs w:val="23"/>
              </w:rPr>
            </w:pPr>
          </w:p>
        </w:tc>
        <w:tc>
          <w:tcPr>
            <w:tcW w:w="2178" w:type="dxa"/>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教学科研并重型</w:t>
            </w:r>
          </w:p>
        </w:tc>
        <w:tc>
          <w:tcPr>
            <w:tcW w:w="1829" w:type="dxa"/>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科研为主型</w:t>
            </w:r>
          </w:p>
        </w:tc>
        <w:tc>
          <w:tcPr>
            <w:tcW w:w="2395" w:type="dxa"/>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教学科研并重型</w:t>
            </w:r>
          </w:p>
        </w:tc>
        <w:tc>
          <w:tcPr>
            <w:tcW w:w="22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科研为主型</w:t>
            </w:r>
          </w:p>
        </w:tc>
      </w:tr>
      <w:tr w:rsidR="00781924"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center"/>
              <w:rPr>
                <w:rFonts w:ascii="微软雅黑" w:eastAsia="微软雅黑" w:hAnsi="微软雅黑"/>
                <w:color w:val="000000"/>
                <w:szCs w:val="21"/>
              </w:rPr>
            </w:pPr>
            <w:r>
              <w:rPr>
                <w:rStyle w:val="a4"/>
                <w:rFonts w:ascii="微软雅黑" w:eastAsia="微软雅黑" w:hAnsi="微软雅黑" w:hint="eastAsia"/>
                <w:color w:val="000000"/>
                <w:szCs w:val="21"/>
              </w:rPr>
              <w:t>目标任务（项目与其他科研业绩同时具备）</w:t>
            </w:r>
          </w:p>
        </w:tc>
        <w:tc>
          <w:tcPr>
            <w:tcW w:w="217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jc w:val="left"/>
              <w:rPr>
                <w:rFonts w:ascii="微软雅黑" w:eastAsia="微软雅黑" w:hAnsi="微软雅黑"/>
                <w:color w:val="000000"/>
                <w:szCs w:val="21"/>
              </w:rPr>
            </w:pPr>
            <w:r>
              <w:rPr>
                <w:rStyle w:val="a4"/>
                <w:rFonts w:ascii="微软雅黑" w:eastAsia="微软雅黑" w:hAnsi="微软雅黑" w:hint="eastAsia"/>
                <w:color w:val="000000"/>
                <w:szCs w:val="21"/>
              </w:rPr>
              <w:t>1.项目：</w:t>
            </w:r>
            <w:r>
              <w:rPr>
                <w:rFonts w:ascii="微软雅黑" w:eastAsia="微软雅黑" w:hAnsi="微软雅黑" w:hint="eastAsia"/>
                <w:color w:val="000000"/>
                <w:szCs w:val="21"/>
              </w:rPr>
              <w:t>新主持国家级项目1项（单项1000分）；</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总分400分（单项100分</w:t>
            </w:r>
            <w:r>
              <w:rPr>
                <w:rFonts w:ascii="微软雅黑" w:eastAsia="微软雅黑" w:hAnsi="微软雅黑" w:hint="eastAsia"/>
                <w:color w:val="000000"/>
                <w:szCs w:val="21"/>
              </w:rPr>
              <w:lastRenderedPageBreak/>
              <w:t>及以上的教学、科研成果用于计分，教学类项目只限1项）。</w:t>
            </w:r>
          </w:p>
        </w:tc>
        <w:tc>
          <w:tcPr>
            <w:tcW w:w="182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总分500分（单项</w:t>
            </w:r>
            <w:r>
              <w:rPr>
                <w:rFonts w:ascii="微软雅黑" w:eastAsia="微软雅黑" w:hAnsi="微软雅黑" w:hint="eastAsia"/>
                <w:color w:val="000000"/>
                <w:szCs w:val="21"/>
              </w:rPr>
              <w:lastRenderedPageBreak/>
              <w:t>100分及以上的科研成果用于计分）。</w:t>
            </w:r>
          </w:p>
        </w:tc>
        <w:tc>
          <w:tcPr>
            <w:tcW w:w="239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总分600分（单项100分及以上的教学、科研成果用于</w:t>
            </w:r>
            <w:r>
              <w:rPr>
                <w:rFonts w:ascii="微软雅黑" w:eastAsia="微软雅黑" w:hAnsi="微软雅黑" w:hint="eastAsia"/>
                <w:color w:val="000000"/>
                <w:szCs w:val="21"/>
              </w:rPr>
              <w:lastRenderedPageBreak/>
              <w:t>计分，教学类项目只限1项）。</w:t>
            </w:r>
          </w:p>
        </w:tc>
        <w:tc>
          <w:tcPr>
            <w:tcW w:w="2247"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新主持国家级项目1项（单项1000分）；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 </w:t>
            </w:r>
            <w:r>
              <w:rPr>
                <w:rFonts w:ascii="微软雅黑" w:eastAsia="微软雅黑" w:hAnsi="微软雅黑" w:hint="eastAsia"/>
                <w:color w:val="000000"/>
                <w:szCs w:val="21"/>
              </w:rPr>
              <w:br/>
              <w:t>总分900分（单项10</w:t>
            </w:r>
            <w:r>
              <w:rPr>
                <w:rFonts w:ascii="微软雅黑" w:eastAsia="微软雅黑" w:hAnsi="微软雅黑" w:hint="eastAsia"/>
                <w:color w:val="000000"/>
                <w:szCs w:val="21"/>
              </w:rPr>
              <w:lastRenderedPageBreak/>
              <w:t>0分及以上的科研成果用于计分）。</w:t>
            </w:r>
          </w:p>
        </w:tc>
      </w:tr>
      <w:tr w:rsidR="00151B8E"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center"/>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备注</w:t>
            </w:r>
          </w:p>
        </w:tc>
        <w:tc>
          <w:tcPr>
            <w:tcW w:w="8691"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left"/>
              <w:rPr>
                <w:rFonts w:ascii="微软雅黑" w:eastAsia="微软雅黑" w:hAnsi="微软雅黑"/>
                <w:color w:val="000000"/>
                <w:szCs w:val="21"/>
              </w:rPr>
            </w:pPr>
            <w:r>
              <w:rPr>
                <w:rFonts w:ascii="微软雅黑" w:eastAsia="微软雅黑" w:hAnsi="微软雅黑" w:hint="eastAsia"/>
                <w:color w:val="000000"/>
                <w:szCs w:val="21"/>
              </w:rPr>
              <w:t>体育、外国语言文学、艺术类博士，获得国家级项目即完成本目标任务。</w:t>
            </w:r>
          </w:p>
        </w:tc>
      </w:tr>
      <w:tr w:rsidR="00151B8E"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center"/>
              <w:rPr>
                <w:rFonts w:ascii="微软雅黑" w:eastAsia="微软雅黑" w:hAnsi="微软雅黑"/>
                <w:color w:val="000000"/>
                <w:szCs w:val="21"/>
              </w:rPr>
            </w:pPr>
            <w:r>
              <w:rPr>
                <w:rStyle w:val="a4"/>
                <w:rFonts w:ascii="微软雅黑" w:eastAsia="微软雅黑" w:hAnsi="微软雅黑" w:hint="eastAsia"/>
                <w:color w:val="000000"/>
                <w:szCs w:val="21"/>
              </w:rPr>
              <w:t>金华校区安家待遇</w:t>
            </w:r>
          </w:p>
        </w:tc>
        <w:tc>
          <w:tcPr>
            <w:tcW w:w="8691"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left"/>
              <w:rPr>
                <w:rFonts w:ascii="微软雅黑" w:eastAsia="微软雅黑" w:hAnsi="微软雅黑"/>
                <w:color w:val="000000"/>
                <w:szCs w:val="21"/>
              </w:rPr>
            </w:pPr>
            <w:r>
              <w:rPr>
                <w:rFonts w:ascii="微软雅黑" w:eastAsia="微软雅黑" w:hAnsi="微软雅黑" w:hint="eastAsia"/>
                <w:color w:val="000000"/>
                <w:szCs w:val="21"/>
              </w:rPr>
              <w:t>报到时提供3万元安家费；完成本目标任务者，提供住房一套，其中赠送面积80平米，房产超出部分面积按照房屋过户时前一个月的市场评估价购买。</w:t>
            </w:r>
          </w:p>
        </w:tc>
      </w:tr>
      <w:tr w:rsidR="00151B8E" w:rsidTr="00781924">
        <w:trPr>
          <w:tblCellSpacing w:w="7" w:type="dxa"/>
          <w:jc w:val="center"/>
        </w:trPr>
        <w:tc>
          <w:tcPr>
            <w:tcW w:w="146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center"/>
              <w:rPr>
                <w:rFonts w:ascii="微软雅黑" w:eastAsia="微软雅黑" w:hAnsi="微软雅黑"/>
                <w:color w:val="000000"/>
                <w:szCs w:val="21"/>
              </w:rPr>
            </w:pPr>
            <w:r>
              <w:rPr>
                <w:rStyle w:val="a4"/>
                <w:rFonts w:ascii="微软雅黑" w:eastAsia="微软雅黑" w:hAnsi="微软雅黑" w:hint="eastAsia"/>
                <w:color w:val="000000"/>
                <w:szCs w:val="21"/>
              </w:rPr>
              <w:t>杭州校区安家待遇</w:t>
            </w:r>
          </w:p>
        </w:tc>
        <w:tc>
          <w:tcPr>
            <w:tcW w:w="8691" w:type="dxa"/>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left"/>
              <w:rPr>
                <w:rFonts w:ascii="微软雅黑" w:eastAsia="微软雅黑" w:hAnsi="微软雅黑"/>
                <w:color w:val="000000"/>
                <w:szCs w:val="21"/>
              </w:rPr>
            </w:pPr>
            <w:r>
              <w:rPr>
                <w:rFonts w:ascii="微软雅黑" w:eastAsia="微软雅黑" w:hAnsi="微软雅黑" w:hint="eastAsia"/>
                <w:color w:val="000000"/>
                <w:szCs w:val="21"/>
              </w:rPr>
              <w:t>完成本目标任务者，提供安家费80万元（其中报到时一次性发放35万元），不赠送住房。</w:t>
            </w:r>
          </w:p>
        </w:tc>
      </w:tr>
    </w:tbl>
    <w:p w:rsidR="00151B8E" w:rsidRDefault="00151B8E" w:rsidP="00151B8E">
      <w:pPr>
        <w:pStyle w:val="a3"/>
        <w:spacing w:before="225" w:beforeAutospacing="0" w:after="225" w:afterAutospacing="0" w:line="525" w:lineRule="atLeast"/>
        <w:ind w:firstLine="450"/>
        <w:jc w:val="center"/>
        <w:rPr>
          <w:rFonts w:ascii="微软雅黑" w:eastAsia="微软雅黑" w:hAnsi="微软雅黑"/>
          <w:color w:val="2E2E2E"/>
          <w:sz w:val="23"/>
          <w:szCs w:val="23"/>
        </w:rPr>
      </w:pPr>
      <w:r>
        <w:rPr>
          <w:rFonts w:ascii="微软雅黑" w:eastAsia="微软雅黑" w:hAnsi="微软雅黑" w:hint="eastAsia"/>
          <w:b/>
          <w:bCs/>
          <w:color w:val="2E2E2E"/>
          <w:sz w:val="23"/>
          <w:szCs w:val="23"/>
        </w:rPr>
        <w:t>附表二：B类目标绩效性任务及相关房产/安家待遇</w:t>
      </w:r>
    </w:p>
    <w:tbl>
      <w:tblPr>
        <w:tblW w:w="6151" w:type="pct"/>
        <w:jc w:val="center"/>
        <w:tblCellSpacing w:w="7" w:type="dxa"/>
        <w:shd w:val="clear" w:color="auto" w:fill="CCCCCC"/>
        <w:tblCellMar>
          <w:left w:w="0" w:type="dxa"/>
          <w:right w:w="0" w:type="dxa"/>
        </w:tblCellMar>
        <w:tblLook w:val="04A0"/>
      </w:tblPr>
      <w:tblGrid>
        <w:gridCol w:w="2169"/>
        <w:gridCol w:w="2242"/>
        <w:gridCol w:w="1710"/>
        <w:gridCol w:w="2106"/>
        <w:gridCol w:w="2062"/>
      </w:tblGrid>
      <w:tr w:rsidR="00781924" w:rsidTr="00372443">
        <w:trPr>
          <w:tblHeader/>
          <w:tblCellSpacing w:w="7" w:type="dxa"/>
          <w:jc w:val="center"/>
        </w:trPr>
        <w:tc>
          <w:tcPr>
            <w:tcW w:w="1048" w:type="pct"/>
            <w:vMerge w:val="restart"/>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类别</w:t>
            </w:r>
          </w:p>
        </w:tc>
        <w:tc>
          <w:tcPr>
            <w:tcW w:w="1914" w:type="pct"/>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文科</w:t>
            </w:r>
          </w:p>
        </w:tc>
        <w:tc>
          <w:tcPr>
            <w:tcW w:w="2010" w:type="pct"/>
            <w:gridSpan w:val="2"/>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理工科</w:t>
            </w:r>
          </w:p>
        </w:tc>
      </w:tr>
      <w:tr w:rsidR="00372443" w:rsidTr="00372443">
        <w:trPr>
          <w:tblHeader/>
          <w:tblCellSpacing w:w="7" w:type="dxa"/>
          <w:jc w:val="center"/>
        </w:trPr>
        <w:tc>
          <w:tcPr>
            <w:tcW w:w="1048"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51B8E" w:rsidRDefault="00151B8E">
            <w:pPr>
              <w:wordWrap w:val="0"/>
              <w:spacing w:line="300" w:lineRule="atLeast"/>
              <w:jc w:val="center"/>
              <w:rPr>
                <w:rFonts w:ascii="微软雅黑" w:eastAsia="微软雅黑" w:hAnsi="微软雅黑" w:cs="宋体"/>
                <w:b/>
                <w:bCs/>
                <w:color w:val="000000"/>
                <w:sz w:val="23"/>
                <w:szCs w:val="23"/>
              </w:rPr>
            </w:pPr>
          </w:p>
        </w:tc>
        <w:tc>
          <w:tcPr>
            <w:tcW w:w="1086" w:type="pct"/>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教学科研并重型</w:t>
            </w:r>
          </w:p>
        </w:tc>
        <w:tc>
          <w:tcPr>
            <w:tcW w:w="822" w:type="pct"/>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科研为主型</w:t>
            </w:r>
          </w:p>
        </w:tc>
        <w:tc>
          <w:tcPr>
            <w:tcW w:w="1021" w:type="pct"/>
            <w:tcBorders>
              <w:top w:val="outset" w:sz="6" w:space="0" w:color="auto"/>
              <w:left w:val="outset" w:sz="6" w:space="0" w:color="auto"/>
              <w:bottom w:val="outset" w:sz="6" w:space="0" w:color="auto"/>
              <w:right w:val="outset" w:sz="6" w:space="0" w:color="auto"/>
            </w:tcBorders>
            <w:shd w:val="clear" w:color="auto" w:fill="E9EAE7"/>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教学科研并重型</w:t>
            </w:r>
          </w:p>
        </w:tc>
        <w:tc>
          <w:tcPr>
            <w:tcW w:w="9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51B8E" w:rsidRDefault="00151B8E">
            <w:pPr>
              <w:wordWrap w:val="0"/>
              <w:spacing w:line="300" w:lineRule="atLeast"/>
              <w:jc w:val="center"/>
              <w:rPr>
                <w:rFonts w:ascii="微软雅黑" w:eastAsia="微软雅黑" w:hAnsi="微软雅黑"/>
                <w:b/>
                <w:bCs/>
                <w:color w:val="000000"/>
                <w:sz w:val="23"/>
                <w:szCs w:val="23"/>
              </w:rPr>
            </w:pPr>
            <w:r>
              <w:rPr>
                <w:rStyle w:val="a4"/>
                <w:rFonts w:ascii="微软雅黑" w:eastAsia="微软雅黑" w:hAnsi="微软雅黑" w:hint="eastAsia"/>
                <w:color w:val="000000"/>
                <w:sz w:val="23"/>
                <w:szCs w:val="23"/>
              </w:rPr>
              <w:t>科研为主型</w:t>
            </w:r>
          </w:p>
        </w:tc>
      </w:tr>
      <w:tr w:rsidR="00372443"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jc w:val="center"/>
              <w:rPr>
                <w:rFonts w:ascii="微软雅黑" w:eastAsia="微软雅黑" w:hAnsi="微软雅黑"/>
                <w:color w:val="000000"/>
                <w:szCs w:val="21"/>
              </w:rPr>
            </w:pPr>
            <w:r>
              <w:rPr>
                <w:rStyle w:val="a4"/>
                <w:rFonts w:ascii="微软雅黑" w:eastAsia="微软雅黑" w:hAnsi="微软雅黑" w:hint="eastAsia"/>
                <w:color w:val="000000"/>
                <w:szCs w:val="21"/>
              </w:rPr>
              <w:t>目标任务（项目与其他科研业绩同时具备）</w:t>
            </w:r>
          </w:p>
        </w:tc>
        <w:tc>
          <w:tcPr>
            <w:tcW w:w="1086"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jc w:val="left"/>
              <w:rPr>
                <w:rFonts w:ascii="微软雅黑" w:eastAsia="微软雅黑" w:hAnsi="微软雅黑"/>
                <w:color w:val="000000"/>
                <w:szCs w:val="21"/>
              </w:rPr>
            </w:pPr>
            <w:r>
              <w:rPr>
                <w:rStyle w:val="a4"/>
                <w:rFonts w:ascii="微软雅黑" w:eastAsia="微软雅黑" w:hAnsi="微软雅黑" w:hint="eastAsia"/>
                <w:color w:val="000000"/>
                <w:szCs w:val="21"/>
              </w:rPr>
              <w:t>1.项目：</w:t>
            </w:r>
            <w:r>
              <w:rPr>
                <w:rFonts w:ascii="微软雅黑" w:eastAsia="微软雅黑" w:hAnsi="微软雅黑" w:hint="eastAsia"/>
                <w:color w:val="000000"/>
                <w:szCs w:val="21"/>
              </w:rPr>
              <w:t>新主持省部级项目1项（单项200分及以上）；</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总分200分（单项100分及以上的教学、科研成</w:t>
            </w:r>
            <w:r>
              <w:rPr>
                <w:rFonts w:ascii="微软雅黑" w:eastAsia="微软雅黑" w:hAnsi="微软雅黑" w:hint="eastAsia"/>
                <w:color w:val="000000"/>
                <w:szCs w:val="21"/>
              </w:rPr>
              <w:lastRenderedPageBreak/>
              <w:t>果用于计分，教学类项目只限1项）。</w:t>
            </w:r>
          </w:p>
        </w:tc>
        <w:tc>
          <w:tcPr>
            <w:tcW w:w="82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新主持省部级项目1项（单项200分及以上）；</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总分300分</w:t>
            </w:r>
            <w:r>
              <w:rPr>
                <w:rFonts w:ascii="微软雅黑" w:eastAsia="微软雅黑" w:hAnsi="微软雅黑" w:hint="eastAsia"/>
                <w:color w:val="000000"/>
                <w:szCs w:val="21"/>
              </w:rPr>
              <w:lastRenderedPageBreak/>
              <w:t>（单项100分及以上的科研成果用于计分）。</w:t>
            </w:r>
          </w:p>
        </w:tc>
        <w:tc>
          <w:tcPr>
            <w:tcW w:w="1021"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新主持省部级项目1项（单项200分及以上）；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总分400分（单项100分及以上的教学、科</w:t>
            </w:r>
            <w:r>
              <w:rPr>
                <w:rFonts w:ascii="微软雅黑" w:eastAsia="微软雅黑" w:hAnsi="微软雅黑" w:hint="eastAsia"/>
                <w:color w:val="000000"/>
                <w:szCs w:val="21"/>
              </w:rPr>
              <w:lastRenderedPageBreak/>
              <w:t>研成果用于计分，教学类项目只限1项）。</w:t>
            </w:r>
          </w:p>
        </w:tc>
        <w:tc>
          <w:tcPr>
            <w:tcW w:w="982"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1.项目：</w:t>
            </w:r>
            <w:r>
              <w:rPr>
                <w:rFonts w:ascii="微软雅黑" w:eastAsia="微软雅黑" w:hAnsi="微软雅黑" w:hint="eastAsia"/>
                <w:color w:val="000000"/>
                <w:szCs w:val="21"/>
              </w:rPr>
              <w:t>新主持省部重点项目1项（单项400分）； </w:t>
            </w:r>
            <w:r>
              <w:rPr>
                <w:rFonts w:ascii="微软雅黑" w:eastAsia="微软雅黑" w:hAnsi="微软雅黑" w:hint="eastAsia"/>
                <w:color w:val="000000"/>
                <w:szCs w:val="21"/>
              </w:rPr>
              <w:br/>
            </w:r>
            <w:r>
              <w:rPr>
                <w:rStyle w:val="a4"/>
                <w:rFonts w:ascii="微软雅黑" w:eastAsia="微软雅黑" w:hAnsi="微软雅黑" w:hint="eastAsia"/>
                <w:color w:val="000000"/>
                <w:szCs w:val="21"/>
              </w:rPr>
              <w:t>2.其他科研业绩：</w:t>
            </w:r>
            <w:r>
              <w:rPr>
                <w:rFonts w:ascii="微软雅黑" w:eastAsia="微软雅黑" w:hAnsi="微软雅黑" w:hint="eastAsia"/>
                <w:color w:val="000000"/>
                <w:szCs w:val="21"/>
              </w:rPr>
              <w:t>总分500分（单项100分及以上的科研成</w:t>
            </w:r>
            <w:r>
              <w:rPr>
                <w:rFonts w:ascii="微软雅黑" w:eastAsia="微软雅黑" w:hAnsi="微软雅黑" w:hint="eastAsia"/>
                <w:color w:val="000000"/>
                <w:szCs w:val="21"/>
              </w:rPr>
              <w:lastRenderedPageBreak/>
              <w:t>果用于计分）。</w:t>
            </w:r>
          </w:p>
        </w:tc>
      </w:tr>
      <w:tr w:rsidR="00372443"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lastRenderedPageBreak/>
              <w:t>备注</w:t>
            </w:r>
          </w:p>
        </w:tc>
        <w:tc>
          <w:tcPr>
            <w:tcW w:w="393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Fonts w:ascii="微软雅黑" w:eastAsia="微软雅黑" w:hAnsi="微软雅黑" w:hint="eastAsia"/>
                <w:color w:val="000000"/>
                <w:szCs w:val="21"/>
              </w:rPr>
              <w:t>体育、外国语言文学、艺术类博士，获得省部级项目即完成本目标任务；其他类获得国家级项目即算完成本目标任务。</w:t>
            </w:r>
          </w:p>
        </w:tc>
      </w:tr>
      <w:tr w:rsidR="00372443"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t>金华校区安家待遇</w:t>
            </w:r>
          </w:p>
        </w:tc>
        <w:tc>
          <w:tcPr>
            <w:tcW w:w="393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Fonts w:ascii="微软雅黑" w:eastAsia="微软雅黑" w:hAnsi="微软雅黑" w:hint="eastAsia"/>
                <w:color w:val="000000"/>
                <w:szCs w:val="21"/>
              </w:rPr>
              <w:t>报到时提供3万元安家费；完成本目标任务者，提供住房一套，其中赠送面积50平米，房产超出部分面积按照房屋过户时前一个月的市场评估价购买。</w:t>
            </w:r>
          </w:p>
        </w:tc>
      </w:tr>
      <w:tr w:rsidR="00372443" w:rsidTr="00372443">
        <w:trPr>
          <w:tblCellSpacing w:w="7" w:type="dxa"/>
          <w:jc w:val="center"/>
        </w:trPr>
        <w:tc>
          <w:tcPr>
            <w:tcW w:w="1048" w:type="pc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Style w:val="a4"/>
                <w:rFonts w:ascii="微软雅黑" w:eastAsia="微软雅黑" w:hAnsi="微软雅黑" w:hint="eastAsia"/>
                <w:color w:val="000000"/>
                <w:szCs w:val="21"/>
              </w:rPr>
              <w:t>杭州校区安家待遇</w:t>
            </w:r>
          </w:p>
        </w:tc>
        <w:tc>
          <w:tcPr>
            <w:tcW w:w="3931" w:type="pct"/>
            <w:gridSpan w:val="4"/>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Fonts w:ascii="微软雅黑" w:eastAsia="微软雅黑" w:hAnsi="微软雅黑" w:hint="eastAsia"/>
                <w:color w:val="000000"/>
                <w:szCs w:val="21"/>
              </w:rPr>
              <w:t>完成本目标任务者，提供安家费50万元（其中报到时一次性发放35万元），不赠送住房。</w:t>
            </w:r>
          </w:p>
        </w:tc>
      </w:tr>
    </w:tbl>
    <w:p w:rsidR="00151B8E" w:rsidRDefault="00151B8E" w:rsidP="00151B8E">
      <w:pPr>
        <w:pStyle w:val="a3"/>
        <w:spacing w:before="225" w:beforeAutospacing="0" w:after="225" w:afterAutospacing="0" w:line="525" w:lineRule="atLeast"/>
        <w:ind w:firstLine="450"/>
        <w:jc w:val="center"/>
        <w:rPr>
          <w:rFonts w:ascii="微软雅黑" w:eastAsia="微软雅黑" w:hAnsi="微软雅黑"/>
          <w:color w:val="2E2E2E"/>
          <w:sz w:val="23"/>
          <w:szCs w:val="23"/>
        </w:rPr>
      </w:pPr>
      <w:r>
        <w:rPr>
          <w:rFonts w:ascii="微软雅黑" w:eastAsia="微软雅黑" w:hAnsi="微软雅黑" w:hint="eastAsia"/>
          <w:b/>
          <w:bCs/>
          <w:color w:val="2E2E2E"/>
          <w:sz w:val="23"/>
          <w:szCs w:val="23"/>
        </w:rPr>
        <w:t>附表三：C类要求及安家待遇</w:t>
      </w:r>
    </w:p>
    <w:tbl>
      <w:tblPr>
        <w:tblW w:w="6151" w:type="pct"/>
        <w:jc w:val="center"/>
        <w:tblCellSpacing w:w="7" w:type="dxa"/>
        <w:shd w:val="clear" w:color="auto" w:fill="CCCCCC"/>
        <w:tblCellMar>
          <w:left w:w="0" w:type="dxa"/>
          <w:right w:w="0" w:type="dxa"/>
        </w:tblCellMar>
        <w:tblLook w:val="04A0"/>
      </w:tblPr>
      <w:tblGrid>
        <w:gridCol w:w="10474"/>
      </w:tblGrid>
      <w:tr w:rsidR="00151B8E" w:rsidTr="00781924">
        <w:trPr>
          <w:tblCellSpacing w:w="7" w:type="dxa"/>
          <w:jc w:val="center"/>
        </w:trPr>
        <w:tc>
          <w:tcPr>
            <w:tcW w:w="1017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151B8E" w:rsidRDefault="00151B8E">
            <w:pPr>
              <w:wordWrap w:val="0"/>
              <w:spacing w:line="375" w:lineRule="atLeast"/>
              <w:rPr>
                <w:rFonts w:ascii="微软雅黑" w:eastAsia="微软雅黑" w:hAnsi="微软雅黑"/>
                <w:color w:val="000000"/>
                <w:szCs w:val="21"/>
              </w:rPr>
            </w:pPr>
            <w:r>
              <w:rPr>
                <w:rFonts w:ascii="微软雅黑" w:eastAsia="微软雅黑" w:hAnsi="微软雅黑" w:hint="eastAsia"/>
                <w:color w:val="000000"/>
                <w:szCs w:val="21"/>
              </w:rPr>
              <w:t>1.引进人才完成目标任务低于附表二要求的，本聘期结束时，我校提供35万元安家费（金华校区含报到时提供的3万元安家费，杭州校区含报到时一次性发放的35万元）。 </w:t>
            </w:r>
            <w:r>
              <w:rPr>
                <w:rFonts w:ascii="微软雅黑" w:eastAsia="微软雅黑" w:hAnsi="微软雅黑" w:hint="eastAsia"/>
                <w:color w:val="000000"/>
                <w:szCs w:val="21"/>
              </w:rPr>
              <w:br/>
              <w:t>2. 已选学校住房的，若未办理房产过户手续的，可退回住房；若已办理房产过户手续的，需按照考核期满前一个月的市场评估价全额购买该套住房。 </w:t>
            </w:r>
          </w:p>
        </w:tc>
      </w:tr>
    </w:tbl>
    <w:p w:rsidR="00151B8E" w:rsidRDefault="00151B8E" w:rsidP="00151B8E">
      <w:pPr>
        <w:pStyle w:val="a3"/>
        <w:spacing w:before="225" w:beforeAutospacing="0" w:after="225" w:afterAutospacing="0" w:line="525" w:lineRule="atLeast"/>
        <w:rPr>
          <w:rFonts w:ascii="微软雅黑" w:eastAsia="微软雅黑" w:hAnsi="微软雅黑"/>
          <w:color w:val="2E2E2E"/>
          <w:sz w:val="23"/>
          <w:szCs w:val="23"/>
        </w:rPr>
      </w:pPr>
    </w:p>
    <w:p w:rsidR="00151B8E" w:rsidRDefault="00151B8E" w:rsidP="00151B8E">
      <w:pPr>
        <w:pStyle w:val="3"/>
        <w:pBdr>
          <w:bottom w:val="single" w:sz="12" w:space="11" w:color="5E2926"/>
        </w:pBdr>
        <w:ind w:left="480" w:right="480"/>
        <w:rPr>
          <w:rFonts w:ascii="微软雅黑" w:eastAsia="微软雅黑" w:hAnsi="微软雅黑"/>
          <w:color w:val="000000"/>
          <w:sz w:val="27"/>
          <w:szCs w:val="27"/>
        </w:rPr>
      </w:pPr>
      <w:r>
        <w:rPr>
          <w:rFonts w:ascii="微软雅黑" w:eastAsia="微软雅黑" w:hAnsi="微软雅黑" w:hint="eastAsia"/>
          <w:color w:val="000000"/>
        </w:rPr>
        <w:lastRenderedPageBreak/>
        <w:t>相关说明</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1.科研计分规则参照标准为：国家级一般（青年）项目1000分，省部级重点项目400分，一般项目200分；顶级期刊论文300分，权威期刊论文200分，一级期刊论文100分。</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2.有一年以上国外学习、工作经历的博士可增加10万元科研启动费。</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3.所有目标任务都必须以浙江师范大学为第一单位、第一作者（第一完成人/主持人）或第一通讯作者身份完成。</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4.住房与过渡房待遇仅限金华校区。</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5.住房数量以学校能提供的现房数量为限，无住房可选或本人自愿不选房时，学校在报到时一次性发放35万元安家费，首聘期考核结束后补足对应的A类80平方米、B类50平方米住房赠送面积同等价值的货币（按照学校公布的当年住房销售基准价计算）。</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6.拟录用人员经公示，没有投诉或经查投诉不实或不影响聘用的，按规定在公示结束的一年内办理聘用手续，逾期未办理入职手续者，将视为放弃岗位，不予录用。</w:t>
      </w:r>
    </w:p>
    <w:p w:rsidR="00151B8E" w:rsidRDefault="00151B8E" w:rsidP="00151B8E">
      <w:pPr>
        <w:pStyle w:val="3"/>
        <w:pBdr>
          <w:bottom w:val="single" w:sz="12" w:space="11" w:color="5E2926"/>
        </w:pBdr>
        <w:ind w:left="480" w:right="480"/>
        <w:rPr>
          <w:rFonts w:ascii="微软雅黑" w:eastAsia="微软雅黑" w:hAnsi="微软雅黑"/>
          <w:color w:val="000000"/>
        </w:rPr>
      </w:pPr>
      <w:r>
        <w:rPr>
          <w:rFonts w:ascii="微软雅黑" w:eastAsia="微软雅黑" w:hAnsi="微软雅黑" w:hint="eastAsia"/>
          <w:color w:val="000000"/>
        </w:rPr>
        <w:t>招聘计划</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招聘计划详见：</w:t>
      </w:r>
      <w:hyperlink r:id="rId5" w:history="1">
        <w:r w:rsidRPr="00165C93">
          <w:rPr>
            <w:rStyle w:val="a5"/>
            <w:rFonts w:ascii="微软雅黑" w:eastAsia="微软雅黑" w:hAnsi="微软雅黑"/>
            <w:sz w:val="23"/>
            <w:szCs w:val="23"/>
          </w:rPr>
          <w:t>http://www.sciencehr.net/uploads/zjsfdx/index.html</w:t>
        </w:r>
      </w:hyperlink>
      <w:r>
        <w:rPr>
          <w:rFonts w:ascii="微软雅黑" w:eastAsia="微软雅黑" w:hAnsi="微软雅黑"/>
          <w:color w:val="2E2E2E"/>
          <w:sz w:val="23"/>
          <w:szCs w:val="23"/>
        </w:rPr>
        <w:t xml:space="preserve"> </w:t>
      </w:r>
    </w:p>
    <w:p w:rsidR="00151B8E" w:rsidRPr="00151B8E" w:rsidRDefault="00151B8E" w:rsidP="00151B8E"/>
    <w:p w:rsidR="00151B8E" w:rsidRDefault="00151B8E" w:rsidP="00151B8E">
      <w:pPr>
        <w:pStyle w:val="3"/>
        <w:pBdr>
          <w:bottom w:val="single" w:sz="12" w:space="11" w:color="5E2926"/>
        </w:pBdr>
        <w:ind w:left="480" w:right="480"/>
        <w:rPr>
          <w:rFonts w:ascii="微软雅黑" w:eastAsia="微软雅黑" w:hAnsi="微软雅黑"/>
          <w:color w:val="000000"/>
          <w:sz w:val="27"/>
          <w:szCs w:val="27"/>
        </w:rPr>
      </w:pPr>
      <w:r>
        <w:rPr>
          <w:rFonts w:ascii="微软雅黑" w:eastAsia="微软雅黑" w:hAnsi="微软雅黑" w:hint="eastAsia"/>
          <w:color w:val="000000"/>
        </w:rPr>
        <w:lastRenderedPageBreak/>
        <w:t>服务期</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1.所有享受安家待遇的引进人才均有十年服务期。</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color w:val="2E2E2E"/>
          <w:sz w:val="23"/>
          <w:szCs w:val="23"/>
        </w:rPr>
        <w:t>2.服务期未满离职并已选学校住房的，若未办理房产过户手续的，可退回住房；若已办理房产过户手续的，需按照离职前一个月的市场评估价全额购买该套住房；若享受住房赠送面积同等价值货币补贴的，全额退回。安家费全额退回。科研启动费退回剩余部分。</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Style w:val="a4"/>
          <w:rFonts w:ascii="微软雅黑" w:eastAsia="微软雅黑" w:hAnsi="微软雅黑" w:hint="eastAsia"/>
          <w:color w:val="2E2E2E"/>
          <w:sz w:val="23"/>
          <w:szCs w:val="23"/>
        </w:rPr>
        <w:t>本政策由学校人事处负责解释。</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b/>
          <w:bCs/>
          <w:color w:val="2E2E2E"/>
          <w:sz w:val="23"/>
          <w:szCs w:val="23"/>
        </w:rPr>
        <w:t>通信地址：</w:t>
      </w:r>
      <w:r>
        <w:rPr>
          <w:rFonts w:ascii="微软雅黑" w:eastAsia="微软雅黑" w:hAnsi="微软雅黑" w:hint="eastAsia"/>
          <w:color w:val="2E2E2E"/>
          <w:sz w:val="23"/>
          <w:szCs w:val="23"/>
        </w:rPr>
        <w:t>金华市迎宾大道688号浙江师范大学人事处（邮编：321004）</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b/>
          <w:bCs/>
          <w:color w:val="2E2E2E"/>
          <w:sz w:val="23"/>
          <w:szCs w:val="23"/>
        </w:rPr>
        <w:t>人事处咨询电话</w:t>
      </w:r>
      <w:r>
        <w:rPr>
          <w:rFonts w:ascii="微软雅黑" w:eastAsia="微软雅黑" w:hAnsi="微软雅黑" w:hint="eastAsia"/>
          <w:color w:val="2E2E2E"/>
          <w:sz w:val="23"/>
          <w:szCs w:val="23"/>
        </w:rPr>
        <w:t>：0579-82282441（郑老师、姜老师、路老师、才老师）</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b/>
          <w:bCs/>
          <w:color w:val="2E2E2E"/>
          <w:sz w:val="23"/>
          <w:szCs w:val="23"/>
        </w:rPr>
        <w:t>电子信箱：</w:t>
      </w:r>
      <w:hyperlink r:id="rId6" w:history="1">
        <w:r w:rsidRPr="00165C93">
          <w:rPr>
            <w:rStyle w:val="a5"/>
            <w:rFonts w:ascii="微软雅黑" w:eastAsia="微软雅黑" w:hAnsi="微软雅黑" w:hint="eastAsia"/>
            <w:sz w:val="23"/>
            <w:szCs w:val="23"/>
          </w:rPr>
          <w:t>zhaopin@zjnu.edu.cn</w:t>
        </w:r>
        <w:r w:rsidRPr="00165C93">
          <w:rPr>
            <w:rStyle w:val="a5"/>
            <w:rFonts w:ascii="微软雅黑" w:eastAsia="微软雅黑" w:hAnsi="微软雅黑"/>
            <w:sz w:val="23"/>
            <w:szCs w:val="23"/>
          </w:rPr>
          <w:t>、zhaopin_zjnu@163.com</w:t>
        </w:r>
      </w:hyperlink>
      <w:r>
        <w:rPr>
          <w:rFonts w:ascii="微软雅黑" w:eastAsia="微软雅黑" w:hAnsi="微软雅黑"/>
          <w:color w:val="2E2E2E"/>
          <w:sz w:val="23"/>
          <w:szCs w:val="23"/>
        </w:rPr>
        <w:t xml:space="preserve"> </w:t>
      </w:r>
    </w:p>
    <w:p w:rsidR="00151B8E" w:rsidRDefault="00151B8E" w:rsidP="00151B8E">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b/>
          <w:bCs/>
          <w:color w:val="2E2E2E"/>
          <w:sz w:val="23"/>
          <w:szCs w:val="23"/>
        </w:rPr>
        <w:t>人才招聘网址：</w:t>
      </w:r>
      <w:hyperlink r:id="rId7" w:tgtFrame="_blank" w:history="1">
        <w:r>
          <w:rPr>
            <w:rStyle w:val="a5"/>
            <w:rFonts w:ascii="微软雅黑" w:eastAsia="微软雅黑" w:hAnsi="微软雅黑" w:hint="eastAsia"/>
            <w:sz w:val="23"/>
            <w:szCs w:val="23"/>
            <w:u w:val="none"/>
          </w:rPr>
          <w:t>http://rsc.zjnu.edu.cn</w:t>
        </w:r>
      </w:hyperlink>
    </w:p>
    <w:p w:rsidR="00B00C58" w:rsidRPr="00781924" w:rsidRDefault="00151B8E" w:rsidP="00781924">
      <w:pPr>
        <w:pStyle w:val="a3"/>
        <w:spacing w:before="225" w:beforeAutospacing="0" w:after="225" w:afterAutospacing="0" w:line="525" w:lineRule="atLeast"/>
        <w:ind w:firstLine="450"/>
        <w:rPr>
          <w:rFonts w:ascii="微软雅黑" w:eastAsia="微软雅黑" w:hAnsi="微软雅黑"/>
          <w:color w:val="2E2E2E"/>
          <w:sz w:val="23"/>
          <w:szCs w:val="23"/>
        </w:rPr>
      </w:pPr>
      <w:r>
        <w:rPr>
          <w:rFonts w:ascii="微软雅黑" w:eastAsia="微软雅黑" w:hAnsi="微软雅黑" w:hint="eastAsia"/>
          <w:b/>
          <w:bCs/>
          <w:color w:val="2E2E2E"/>
          <w:sz w:val="23"/>
          <w:szCs w:val="23"/>
        </w:rPr>
        <w:t>本政策由学校人事处负责解释。</w:t>
      </w:r>
    </w:p>
    <w:sectPr w:rsidR="00B00C58" w:rsidRPr="00781924" w:rsidSect="00C573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微软雅黑"/>
    <w:charset w:val="86"/>
    <w:family w:val="auto"/>
    <w:pitch w:val="variable"/>
    <w:sig w:usb0="00000000"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A8A"/>
    <w:rsid w:val="00151B8E"/>
    <w:rsid w:val="00336A8A"/>
    <w:rsid w:val="00372443"/>
    <w:rsid w:val="00781924"/>
    <w:rsid w:val="00B00C58"/>
    <w:rsid w:val="00B55F4D"/>
    <w:rsid w:val="00C57338"/>
    <w:rsid w:val="00D16CAC"/>
    <w:rsid w:val="00E510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338"/>
    <w:pPr>
      <w:widowControl w:val="0"/>
      <w:jc w:val="both"/>
    </w:pPr>
  </w:style>
  <w:style w:type="paragraph" w:styleId="1">
    <w:name w:val="heading 1"/>
    <w:basedOn w:val="a"/>
    <w:link w:val="1Char"/>
    <w:uiPriority w:val="9"/>
    <w:qFormat/>
    <w:rsid w:val="00151B8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Char"/>
    <w:uiPriority w:val="9"/>
    <w:unhideWhenUsed/>
    <w:qFormat/>
    <w:rsid w:val="00151B8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51B8E"/>
    <w:rPr>
      <w:rFonts w:ascii="宋体" w:eastAsia="宋体" w:hAnsi="宋体" w:cs="宋体"/>
      <w:b/>
      <w:bCs/>
      <w:kern w:val="36"/>
      <w:sz w:val="48"/>
      <w:szCs w:val="48"/>
    </w:rPr>
  </w:style>
  <w:style w:type="paragraph" w:styleId="a3">
    <w:name w:val="Normal (Web)"/>
    <w:basedOn w:val="a"/>
    <w:uiPriority w:val="99"/>
    <w:unhideWhenUsed/>
    <w:rsid w:val="00151B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51B8E"/>
    <w:rPr>
      <w:b/>
      <w:bCs/>
    </w:rPr>
  </w:style>
  <w:style w:type="character" w:customStyle="1" w:styleId="3Char">
    <w:name w:val="标题 3 Char"/>
    <w:basedOn w:val="a0"/>
    <w:link w:val="3"/>
    <w:uiPriority w:val="9"/>
    <w:rsid w:val="00151B8E"/>
    <w:rPr>
      <w:b/>
      <w:bCs/>
      <w:sz w:val="32"/>
      <w:szCs w:val="32"/>
    </w:rPr>
  </w:style>
  <w:style w:type="character" w:styleId="a5">
    <w:name w:val="Hyperlink"/>
    <w:basedOn w:val="a0"/>
    <w:uiPriority w:val="99"/>
    <w:unhideWhenUsed/>
    <w:rsid w:val="00151B8E"/>
    <w:rPr>
      <w:color w:val="0000FF"/>
      <w:u w:val="single"/>
    </w:rPr>
  </w:style>
  <w:style w:type="character" w:customStyle="1" w:styleId="UnresolvedMention">
    <w:name w:val="Unresolved Mention"/>
    <w:basedOn w:val="a0"/>
    <w:uiPriority w:val="99"/>
    <w:semiHidden/>
    <w:unhideWhenUsed/>
    <w:rsid w:val="00151B8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866281">
      <w:bodyDiv w:val="1"/>
      <w:marLeft w:val="0"/>
      <w:marRight w:val="0"/>
      <w:marTop w:val="0"/>
      <w:marBottom w:val="0"/>
      <w:divBdr>
        <w:top w:val="none" w:sz="0" w:space="0" w:color="auto"/>
        <w:left w:val="none" w:sz="0" w:space="0" w:color="auto"/>
        <w:bottom w:val="none" w:sz="0" w:space="0" w:color="auto"/>
        <w:right w:val="none" w:sz="0" w:space="0" w:color="auto"/>
      </w:divBdr>
    </w:div>
    <w:div w:id="87584180">
      <w:bodyDiv w:val="1"/>
      <w:marLeft w:val="0"/>
      <w:marRight w:val="0"/>
      <w:marTop w:val="0"/>
      <w:marBottom w:val="0"/>
      <w:divBdr>
        <w:top w:val="none" w:sz="0" w:space="0" w:color="auto"/>
        <w:left w:val="none" w:sz="0" w:space="0" w:color="auto"/>
        <w:bottom w:val="none" w:sz="0" w:space="0" w:color="auto"/>
        <w:right w:val="none" w:sz="0" w:space="0" w:color="auto"/>
      </w:divBdr>
    </w:div>
    <w:div w:id="268437567">
      <w:bodyDiv w:val="1"/>
      <w:marLeft w:val="0"/>
      <w:marRight w:val="0"/>
      <w:marTop w:val="0"/>
      <w:marBottom w:val="0"/>
      <w:divBdr>
        <w:top w:val="none" w:sz="0" w:space="0" w:color="auto"/>
        <w:left w:val="none" w:sz="0" w:space="0" w:color="auto"/>
        <w:bottom w:val="none" w:sz="0" w:space="0" w:color="auto"/>
        <w:right w:val="none" w:sz="0" w:space="0" w:color="auto"/>
      </w:divBdr>
      <w:divsChild>
        <w:div w:id="2006783962">
          <w:marLeft w:val="0"/>
          <w:marRight w:val="0"/>
          <w:marTop w:val="0"/>
          <w:marBottom w:val="0"/>
          <w:divBdr>
            <w:top w:val="none" w:sz="0" w:space="0" w:color="auto"/>
            <w:left w:val="none" w:sz="0" w:space="0" w:color="auto"/>
            <w:bottom w:val="none" w:sz="0" w:space="0" w:color="auto"/>
            <w:right w:val="none" w:sz="0" w:space="0" w:color="auto"/>
          </w:divBdr>
        </w:div>
        <w:div w:id="517013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sc.zjn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opin@zjnu.edu.cn&#12289;zhaopin_zjnu@163.com" TargetMode="External"/><Relationship Id="rId5" Type="http://schemas.openxmlformats.org/officeDocument/2006/relationships/hyperlink" Target="http://www.sciencehr.net/uploads/zjsfdx/index.html" TargetMode="External"/><Relationship Id="rId4" Type="http://schemas.openxmlformats.org/officeDocument/2006/relationships/hyperlink" Target="http://sciencehr.mikecrm.com/M9GlmO6"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世界 微观</dc:creator>
  <cp:keywords/>
  <dc:description/>
  <cp:lastModifiedBy>Administrator</cp:lastModifiedBy>
  <cp:revision>22</cp:revision>
  <dcterms:created xsi:type="dcterms:W3CDTF">2020-03-23T09:47:00Z</dcterms:created>
  <dcterms:modified xsi:type="dcterms:W3CDTF">2020-05-27T10:21:00Z</dcterms:modified>
</cp:coreProperties>
</file>