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27" w:rsidRPr="00910A27" w:rsidRDefault="00910A27" w:rsidP="00910A27">
      <w:pPr>
        <w:widowControl/>
        <w:jc w:val="center"/>
        <w:outlineLvl w:val="1"/>
        <w:rPr>
          <w:rFonts w:ascii="微软雅黑" w:eastAsia="微软雅黑" w:hAnsi="微软雅黑" w:cs="宋体"/>
          <w:b/>
          <w:bCs/>
          <w:color w:val="000000"/>
          <w:kern w:val="0"/>
          <w:sz w:val="37"/>
          <w:szCs w:val="37"/>
        </w:rPr>
      </w:pPr>
      <w:r w:rsidRPr="00910A27">
        <w:rPr>
          <w:rFonts w:ascii="微软雅黑" w:eastAsia="微软雅黑" w:hAnsi="微软雅黑" w:cs="宋体" w:hint="eastAsia"/>
          <w:b/>
          <w:bCs/>
          <w:color w:val="000000"/>
          <w:kern w:val="0"/>
          <w:sz w:val="37"/>
          <w:szCs w:val="37"/>
        </w:rPr>
        <w:t>泰山学院2021年引进高层次人才优惠政策</w:t>
      </w:r>
    </w:p>
    <w:p w:rsidR="00910A27" w:rsidRPr="00910A27" w:rsidRDefault="00910A27" w:rsidP="00910A27">
      <w:pPr>
        <w:pStyle w:val="3"/>
        <w:pBdr>
          <w:bottom w:val="single" w:sz="12" w:space="10" w:color="5E2926"/>
        </w:pBdr>
        <w:spacing w:before="0" w:after="105"/>
        <w:rPr>
          <w:rFonts w:ascii="微软雅黑" w:eastAsia="微软雅黑" w:hAnsi="微软雅黑"/>
          <w:color w:val="000000"/>
          <w:sz w:val="18"/>
          <w:szCs w:val="18"/>
        </w:rPr>
      </w:pPr>
      <w:r w:rsidRPr="00910A27">
        <w:rPr>
          <w:rFonts w:ascii="微软雅黑" w:eastAsia="微软雅黑" w:hAnsi="微软雅黑" w:hint="eastAsia"/>
          <w:color w:val="000000"/>
          <w:sz w:val="18"/>
          <w:szCs w:val="18"/>
        </w:rPr>
        <w:t>泰山学院简介</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泰山学院是经教育部批准设立的公办全日制普通本科高校，高等教育办学历史已达60余年,办学历史可追溯到1905年创办的泰安府官立师范学堂。2002年举办本科教育，2012年通过教育部本科教学工作合格评估，2017年获批硕士学位授予立项建设单位，2019年通过教育部本科教学审核评估,2021年入选山东省应用型本科高校建设首批支持高校。</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学校位于历史文化名城泰安市内，坐落在 “五岳之首”的泰山南麓，建有以全国人大委员会原委员长万里名字命名的图书馆——万里图书馆。现有南、北两个校区，64个本科专业，涵盖文学、理学、工学、法学、历史学、教育学、管理学、经济学、艺术学等9大学科门类；面向全国27个省（市、自治区）招生，现有全日制普通在校生近2万人。</w:t>
      </w:r>
    </w:p>
    <w:p w:rsidR="00910A27" w:rsidRPr="00910A27" w:rsidRDefault="00910A27" w:rsidP="00910A27">
      <w:pPr>
        <w:jc w:val="center"/>
        <w:rPr>
          <w:rFonts w:ascii="微软雅黑" w:eastAsia="微软雅黑" w:hAnsi="微软雅黑" w:hint="eastAsia"/>
          <w:color w:val="000000"/>
          <w:sz w:val="18"/>
          <w:szCs w:val="18"/>
        </w:rPr>
      </w:pP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人才培养</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学校现有国家级一流建设专业建设点3个，省级一流本科专业建设点7个，硕士学位授予立项建设重点培育专业5个，教育部综合改革试点专业1个，全国第三批大学英语教学改革示范点项目1个，山东省人才培养模拟创新试验区1个，山东省高水平应用型立项建设专业4个。</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学科建设</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学校现有省级重点学科4个，省高等学校重点实验室2个，省高等学校协同创新中心1个，省人文社科研究基地1个，省社会科学普及教育基地2个。</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师资队伍</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学校现有教职工1458人，其中专任教师993人，博士研究生282人，教授、副教授411人；国家级领军人才、新世纪百千万人才工程国家级人选、政府特殊津贴专家、泰山学者、教育部教学指导委员会委员、省重点学科首席专家、省突出贡献专家、省中青年学术骨干、省级教学名师及省级以上各类专业技术拔尖人才33人；省级优秀教学团队5个，省青年创新团队6个，省高校黄大年式教师团队1个；从国内外重点大学和科研机构聘任院士、长江学者、国家教学名师、博士生导师为兼职教授300余人。</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科学研究</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学校非常重视科学研究工作，“十三五”以来，共承担国家自然科学基金、国家社会科学基金等国家级科研项目28项，省部级项目152项；获厅级以上科研奖励187项；发表学术论文2055余篇，被SCI、EI、SSCI、CSSCI收录591篇，出版专著、译著和教材208余部。</w:t>
      </w:r>
    </w:p>
    <w:p w:rsidR="00910A27" w:rsidRPr="00910A27" w:rsidRDefault="00910A27" w:rsidP="00910A27">
      <w:pPr>
        <w:pStyle w:val="a5"/>
        <w:pBdr>
          <w:top w:val="dashed" w:sz="4" w:space="5" w:color="BEE4FC"/>
          <w:left w:val="dashed" w:sz="4" w:space="5" w:color="BEE4FC"/>
          <w:bottom w:val="dashed" w:sz="4" w:space="5" w:color="BEE4FC"/>
          <w:right w:val="dashed" w:sz="4" w:space="5" w:color="BEE4FC"/>
        </w:pBdr>
        <w:shd w:val="clear" w:color="auto" w:fill="E7F9FF"/>
        <w:spacing w:before="196" w:beforeAutospacing="0" w:after="196" w:afterAutospacing="0" w:line="340" w:lineRule="atLeast"/>
        <w:ind w:left="105" w:right="105"/>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泰山学院2021 年引进的高层次人才分为高层次专家、博士研究生、基础教育领域专家、双师双能型人才、短期聘用博士研究生五类。各类人才引进对象及条件、方式及待遇规定如下：</w:t>
      </w:r>
    </w:p>
    <w:p w:rsidR="00910A27" w:rsidRPr="00910A27" w:rsidRDefault="00910A27" w:rsidP="00910A27">
      <w:pPr>
        <w:pStyle w:val="3"/>
        <w:pBdr>
          <w:bottom w:val="single" w:sz="12" w:space="10" w:color="5E2926"/>
        </w:pBdr>
        <w:spacing w:before="0" w:after="105"/>
        <w:rPr>
          <w:rFonts w:ascii="微软雅黑" w:eastAsia="微软雅黑" w:hAnsi="微软雅黑" w:hint="eastAsia"/>
          <w:color w:val="000000"/>
          <w:sz w:val="18"/>
          <w:szCs w:val="18"/>
        </w:rPr>
      </w:pPr>
      <w:bookmarkStart w:id="0" w:name="1"/>
      <w:bookmarkEnd w:id="0"/>
      <w:r w:rsidRPr="00910A27">
        <w:rPr>
          <w:rFonts w:ascii="微软雅黑" w:eastAsia="微软雅黑" w:hAnsi="微软雅黑" w:hint="eastAsia"/>
          <w:color w:val="000000"/>
          <w:sz w:val="18"/>
          <w:szCs w:val="18"/>
        </w:rPr>
        <w:t>一、引进对象及条件</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（一）高层次专家和高水平学科带头人</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入选省级及以上人才工程项目或具备冲击省级及以上人才工程项目实力、能引领本学科跻身国内外发展前沿的顶尖人才。</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lastRenderedPageBreak/>
        <w:t>（二）博士研究生</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我校引进博士研究生根据实际需求、博士整体业绩和生源紧缺程度分A1、A2、B、C、D五类。</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A1类主要指高水平博士，年龄一般不超过40周岁，专业不限，具有较高的科研创新能力，或应用领域取得重大成果； </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A2类主要指申硕、国家一流本科专业建设紧缺博士，专业具体包括：中国史、旅游管理类、电子信息类、教师教育类、材料与化工类专业；</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B类主要指与我校重点建设学科专业方向相一致、且毕业生生源状况相对紧缺的博士或高水平博士，年龄一般不超过40周岁。专业具体包括计算机科学与技术、中国语言文学、数学、外国语言文学、体育学、美术学、艺术学、经济学、管理科学与工程、工商管理、机械工程、控制科学与工程、建筑学、土木工程、马克思主义理论、中共党史等相关专业；</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C类专业是指非A1、A2、B类专业, C类博士年龄要求一般不超过35周岁；</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D类博士是指学校每年确定一定数量与省市区域内行业企业紧缺人才专业方向相关的人才引进指标，实施校企人才共引、共享、共用，年龄一般不超过35周岁。校企共引、共享、共用人才到学校报到后，须全职到企业工作3年，由企业考核。企业工作满3年后，可以选择回学校工作。</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（三）基础教育领域专家</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根据我校教育硕士专业学位申报建设要求，引进部分基础教育领域的高级、特级教师，基本条件如下：</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1、对某一基础学科具有系统、坚实的理论知识和丰富的教学经验；精通业务，严谨治学，教育教学效果特别显著；</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2、在教育教学改革中勇于创新或在教学法研究、教材建设中成绩卓著；</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3、主持省部级及以上基础教育科研项目，或发表过基础教育的高水平学术论文或出版教育类著作，或主持制定过基础教育的技术规范或行业标准等应用性成果等；</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4、学历为全日制大学本科及以上，硕士或博士研究生优先考虑。</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（四）双师双能型人才</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基本条件如下：</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1、年龄一般不超过40周岁，身心健康；</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2、硕士研究生及以上学历且具有副高及以上职称；</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3、具有与本专业相关的执业资格证书和本专业两年及以上企业生产、建设、服务、管理等一线工作经历，能指导本专业理论教学和实践教学；</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4、具有较强的敬业精神和团队协作精神，热爱教育事业，德才兼备，乐于奉献，身心健康，能胜任岗位工作要求。</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（五）短期聘用博士研究生</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短期聘用人才聘期为3年，全职引进，聘期内实行协议薪酬制。该类博士要与我校重点建设学科专业方向相一致，且年龄一般不超过35周岁。学校与短期聘用人员签订聘用合同，明确目标任务，若聘期内超额完成合同规定的工作任务，协议薪酬可上浮,上浮金额依据合同约定标准确定。学校为人才提供安家补助、科研启动经费；聘期内，缴纳五险一金。</w:t>
      </w:r>
    </w:p>
    <w:p w:rsidR="00910A27" w:rsidRPr="00910A27" w:rsidRDefault="00910A27" w:rsidP="00910A27">
      <w:pPr>
        <w:pStyle w:val="3"/>
        <w:pBdr>
          <w:bottom w:val="single" w:sz="12" w:space="10" w:color="5E2926"/>
        </w:pBdr>
        <w:spacing w:before="0" w:after="105"/>
        <w:rPr>
          <w:rFonts w:ascii="微软雅黑" w:eastAsia="微软雅黑" w:hAnsi="微软雅黑" w:hint="eastAsia"/>
          <w:color w:val="000000"/>
          <w:sz w:val="18"/>
          <w:szCs w:val="18"/>
        </w:rPr>
      </w:pPr>
      <w:r w:rsidRPr="00910A27">
        <w:rPr>
          <w:rFonts w:ascii="微软雅黑" w:eastAsia="微软雅黑" w:hAnsi="微软雅黑" w:hint="eastAsia"/>
          <w:color w:val="000000"/>
          <w:sz w:val="18"/>
          <w:szCs w:val="18"/>
        </w:rPr>
        <w:t>二、引进方式及待遇</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（一）高层次专家和高水平学科带头人</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采取全职引进和柔性方式引进两种方式。</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lastRenderedPageBreak/>
        <w:t>1、全职引进人才实行年薪制。年薪、安家补助、团队建设经费等各项待遇从优，根据人才学术水平、学校需求，“一人一议、一事一策”确定。</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2、柔性引进实行协议薪酬制。具体标准视在校工作时间、工作业绩等协商确定。</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（二）博士研究生</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全职引进长期聘用的博士待遇如下：</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1、博士研究生来校工作后，除享受国家规定的工资和相关待遇外，经专家组评议，根据其整体学术水平及社会贡献，还可享受以下优惠政策：</w:t>
      </w:r>
    </w:p>
    <w:tbl>
      <w:tblPr>
        <w:tblW w:w="5439" w:type="pct"/>
        <w:jc w:val="center"/>
        <w:tblCellSpacing w:w="7" w:type="dxa"/>
        <w:shd w:val="clear" w:color="auto" w:fill="BABABA"/>
        <w:tblCellMar>
          <w:top w:w="15" w:type="dxa"/>
          <w:left w:w="15" w:type="dxa"/>
          <w:bottom w:w="15" w:type="dxa"/>
          <w:right w:w="15" w:type="dxa"/>
        </w:tblCellMar>
        <w:tblLook w:val="04A0"/>
      </w:tblPr>
      <w:tblGrid>
        <w:gridCol w:w="1583"/>
        <w:gridCol w:w="2433"/>
        <w:gridCol w:w="1753"/>
        <w:gridCol w:w="3274"/>
        <w:gridCol w:w="55"/>
      </w:tblGrid>
      <w:tr w:rsidR="00910A27" w:rsidRPr="00910A27" w:rsidTr="00910A27">
        <w:trPr>
          <w:tblHeader/>
          <w:tblCellSpacing w:w="7" w:type="dxa"/>
          <w:jc w:val="center"/>
        </w:trPr>
        <w:tc>
          <w:tcPr>
            <w:tcW w:w="1562" w:type="dxa"/>
            <w:vMerge w:val="restart"/>
            <w:shd w:val="clear" w:color="auto" w:fill="000033"/>
            <w:vAlign w:val="center"/>
            <w:hideMark/>
          </w:tcPr>
          <w:p w:rsidR="00910A27" w:rsidRPr="00910A27" w:rsidRDefault="00910A27">
            <w:pPr>
              <w:spacing w:line="262" w:lineRule="atLeast"/>
              <w:jc w:val="center"/>
              <w:rPr>
                <w:rFonts w:ascii="微软雅黑" w:eastAsia="微软雅黑" w:hAnsi="微软雅黑" w:cs="宋体"/>
                <w:b/>
                <w:bCs/>
                <w:color w:val="FFFFFF"/>
                <w:sz w:val="18"/>
                <w:szCs w:val="18"/>
              </w:rPr>
            </w:pPr>
            <w:r w:rsidRPr="00910A27">
              <w:rPr>
                <w:rFonts w:ascii="微软雅黑" w:eastAsia="微软雅黑" w:hAnsi="微软雅黑" w:hint="eastAsia"/>
                <w:b/>
                <w:bCs/>
                <w:color w:val="FFFFFF"/>
                <w:sz w:val="18"/>
                <w:szCs w:val="18"/>
              </w:rPr>
              <w:t>层次</w:t>
            </w:r>
          </w:p>
        </w:tc>
        <w:tc>
          <w:tcPr>
            <w:tcW w:w="2419" w:type="dxa"/>
            <w:vMerge w:val="restart"/>
            <w:shd w:val="clear" w:color="auto" w:fill="000033"/>
            <w:vAlign w:val="center"/>
            <w:hideMark/>
          </w:tcPr>
          <w:p w:rsidR="00910A27" w:rsidRPr="00910A27" w:rsidRDefault="00910A27">
            <w:pPr>
              <w:spacing w:line="262" w:lineRule="atLeast"/>
              <w:jc w:val="center"/>
              <w:rPr>
                <w:rFonts w:ascii="微软雅黑" w:eastAsia="微软雅黑" w:hAnsi="微软雅黑" w:cs="宋体"/>
                <w:b/>
                <w:bCs/>
                <w:color w:val="FFFFFF"/>
                <w:sz w:val="18"/>
                <w:szCs w:val="18"/>
              </w:rPr>
            </w:pPr>
            <w:r w:rsidRPr="00910A27">
              <w:rPr>
                <w:rFonts w:ascii="微软雅黑" w:eastAsia="微软雅黑" w:hAnsi="微软雅黑" w:hint="eastAsia"/>
                <w:b/>
                <w:bCs/>
                <w:color w:val="FFFFFF"/>
                <w:sz w:val="18"/>
                <w:szCs w:val="18"/>
              </w:rPr>
              <w:t>安家费（万元）</w:t>
            </w:r>
          </w:p>
        </w:tc>
        <w:tc>
          <w:tcPr>
            <w:tcW w:w="5061" w:type="dxa"/>
            <w:gridSpan w:val="3"/>
            <w:shd w:val="clear" w:color="auto" w:fill="000033"/>
            <w:vAlign w:val="center"/>
            <w:hideMark/>
          </w:tcPr>
          <w:p w:rsidR="00910A27" w:rsidRPr="00910A27" w:rsidRDefault="00910A27">
            <w:pPr>
              <w:spacing w:line="262" w:lineRule="atLeast"/>
              <w:jc w:val="center"/>
              <w:rPr>
                <w:rFonts w:ascii="微软雅黑" w:eastAsia="微软雅黑" w:hAnsi="微软雅黑" w:cs="宋体"/>
                <w:b/>
                <w:bCs/>
                <w:color w:val="FFFFFF"/>
                <w:sz w:val="18"/>
                <w:szCs w:val="18"/>
              </w:rPr>
            </w:pPr>
            <w:r w:rsidRPr="00910A27">
              <w:rPr>
                <w:rFonts w:ascii="微软雅黑" w:eastAsia="微软雅黑" w:hAnsi="微软雅黑" w:hint="eastAsia"/>
                <w:b/>
                <w:bCs/>
                <w:color w:val="FFFFFF"/>
                <w:sz w:val="18"/>
                <w:szCs w:val="18"/>
              </w:rPr>
              <w:t>科研启动经费（万元）</w:t>
            </w:r>
          </w:p>
        </w:tc>
      </w:tr>
      <w:tr w:rsidR="00910A27" w:rsidRPr="00910A27" w:rsidTr="00910A27">
        <w:trPr>
          <w:gridAfter w:val="1"/>
          <w:wAfter w:w="34" w:type="dxa"/>
          <w:tblHeader/>
          <w:tblCellSpacing w:w="7" w:type="dxa"/>
          <w:jc w:val="center"/>
        </w:trPr>
        <w:tc>
          <w:tcPr>
            <w:tcW w:w="1562" w:type="dxa"/>
            <w:vMerge/>
            <w:shd w:val="clear" w:color="auto" w:fill="FFFFFF"/>
            <w:vAlign w:val="center"/>
            <w:hideMark/>
          </w:tcPr>
          <w:p w:rsidR="00910A27" w:rsidRPr="00910A27" w:rsidRDefault="00910A27">
            <w:pPr>
              <w:rPr>
                <w:rFonts w:ascii="微软雅黑" w:eastAsia="微软雅黑" w:hAnsi="微软雅黑" w:cs="宋体"/>
                <w:b/>
                <w:bCs/>
                <w:color w:val="FFFFFF"/>
                <w:sz w:val="18"/>
                <w:szCs w:val="18"/>
              </w:rPr>
            </w:pPr>
          </w:p>
        </w:tc>
        <w:tc>
          <w:tcPr>
            <w:tcW w:w="2419" w:type="dxa"/>
            <w:vMerge/>
            <w:shd w:val="clear" w:color="auto" w:fill="FFFFFF"/>
            <w:vAlign w:val="center"/>
            <w:hideMark/>
          </w:tcPr>
          <w:p w:rsidR="00910A27" w:rsidRPr="00910A27" w:rsidRDefault="00910A27">
            <w:pPr>
              <w:rPr>
                <w:rFonts w:ascii="微软雅黑" w:eastAsia="微软雅黑" w:hAnsi="微软雅黑" w:cs="宋体"/>
                <w:b/>
                <w:bCs/>
                <w:color w:val="FFFFFF"/>
                <w:sz w:val="18"/>
                <w:szCs w:val="18"/>
              </w:rPr>
            </w:pPr>
          </w:p>
        </w:tc>
        <w:tc>
          <w:tcPr>
            <w:tcW w:w="1739" w:type="dxa"/>
            <w:shd w:val="clear" w:color="auto" w:fill="000033"/>
            <w:vAlign w:val="center"/>
            <w:hideMark/>
          </w:tcPr>
          <w:p w:rsidR="00910A27" w:rsidRPr="00910A27" w:rsidRDefault="00910A27">
            <w:pPr>
              <w:spacing w:line="262" w:lineRule="atLeast"/>
              <w:jc w:val="center"/>
              <w:rPr>
                <w:rFonts w:ascii="微软雅黑" w:eastAsia="微软雅黑" w:hAnsi="微软雅黑" w:cs="宋体"/>
                <w:b/>
                <w:bCs/>
                <w:color w:val="FFFFFF"/>
                <w:sz w:val="18"/>
                <w:szCs w:val="18"/>
              </w:rPr>
            </w:pPr>
            <w:r w:rsidRPr="00910A27">
              <w:rPr>
                <w:rFonts w:ascii="微软雅黑" w:eastAsia="微软雅黑" w:hAnsi="微软雅黑" w:hint="eastAsia"/>
                <w:b/>
                <w:bCs/>
                <w:color w:val="FFFFFF"/>
                <w:sz w:val="18"/>
                <w:szCs w:val="18"/>
              </w:rPr>
              <w:t>非实验类</w:t>
            </w:r>
          </w:p>
        </w:tc>
        <w:tc>
          <w:tcPr>
            <w:tcW w:w="3260" w:type="dxa"/>
            <w:shd w:val="clear" w:color="auto" w:fill="FFFFFF"/>
            <w:vAlign w:val="center"/>
            <w:hideMark/>
          </w:tcPr>
          <w:p w:rsidR="00910A27" w:rsidRPr="00910A27" w:rsidRDefault="00910A27">
            <w:pPr>
              <w:spacing w:line="262" w:lineRule="atLeast"/>
              <w:jc w:val="center"/>
              <w:rPr>
                <w:rFonts w:ascii="微软雅黑" w:eastAsia="微软雅黑" w:hAnsi="微软雅黑" w:cs="宋体"/>
                <w:b/>
                <w:bCs/>
                <w:color w:val="000000" w:themeColor="text1"/>
                <w:sz w:val="18"/>
                <w:szCs w:val="18"/>
              </w:rPr>
            </w:pPr>
            <w:r w:rsidRPr="00910A27">
              <w:rPr>
                <w:rFonts w:ascii="微软雅黑" w:eastAsia="微软雅黑" w:hAnsi="微软雅黑" w:hint="eastAsia"/>
                <w:b/>
                <w:bCs/>
                <w:color w:val="000000" w:themeColor="text1"/>
                <w:sz w:val="18"/>
                <w:szCs w:val="18"/>
              </w:rPr>
              <w:t>实验类</w:t>
            </w:r>
          </w:p>
        </w:tc>
      </w:tr>
      <w:tr w:rsidR="00910A27" w:rsidRPr="00910A27" w:rsidTr="00910A27">
        <w:trPr>
          <w:gridAfter w:val="1"/>
          <w:wAfter w:w="34" w:type="dxa"/>
          <w:tblCellSpacing w:w="7" w:type="dxa"/>
          <w:jc w:val="center"/>
        </w:trPr>
        <w:tc>
          <w:tcPr>
            <w:tcW w:w="156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A1、A2</w:t>
            </w:r>
          </w:p>
        </w:tc>
        <w:tc>
          <w:tcPr>
            <w:tcW w:w="2419"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40-70</w:t>
            </w:r>
          </w:p>
        </w:tc>
        <w:tc>
          <w:tcPr>
            <w:tcW w:w="1739"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10</w:t>
            </w:r>
          </w:p>
        </w:tc>
        <w:tc>
          <w:tcPr>
            <w:tcW w:w="3260"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20</w:t>
            </w:r>
          </w:p>
        </w:tc>
      </w:tr>
      <w:tr w:rsidR="00910A27" w:rsidRPr="00910A27" w:rsidTr="00910A27">
        <w:trPr>
          <w:gridAfter w:val="1"/>
          <w:wAfter w:w="34" w:type="dxa"/>
          <w:tblCellSpacing w:w="7" w:type="dxa"/>
          <w:jc w:val="center"/>
        </w:trPr>
        <w:tc>
          <w:tcPr>
            <w:tcW w:w="156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B</w:t>
            </w:r>
          </w:p>
        </w:tc>
        <w:tc>
          <w:tcPr>
            <w:tcW w:w="2419"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30-50</w:t>
            </w:r>
          </w:p>
        </w:tc>
        <w:tc>
          <w:tcPr>
            <w:tcW w:w="1739"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10</w:t>
            </w:r>
          </w:p>
        </w:tc>
        <w:tc>
          <w:tcPr>
            <w:tcW w:w="3260"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20</w:t>
            </w:r>
          </w:p>
        </w:tc>
      </w:tr>
      <w:tr w:rsidR="00910A27" w:rsidRPr="00910A27" w:rsidTr="00910A27">
        <w:trPr>
          <w:gridAfter w:val="1"/>
          <w:wAfter w:w="34" w:type="dxa"/>
          <w:tblCellSpacing w:w="7" w:type="dxa"/>
          <w:jc w:val="center"/>
        </w:trPr>
        <w:tc>
          <w:tcPr>
            <w:tcW w:w="156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C</w:t>
            </w:r>
          </w:p>
        </w:tc>
        <w:tc>
          <w:tcPr>
            <w:tcW w:w="2419"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15-30</w:t>
            </w:r>
          </w:p>
        </w:tc>
        <w:tc>
          <w:tcPr>
            <w:tcW w:w="1739"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5</w:t>
            </w:r>
          </w:p>
        </w:tc>
        <w:tc>
          <w:tcPr>
            <w:tcW w:w="3260"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10</w:t>
            </w:r>
          </w:p>
        </w:tc>
      </w:tr>
      <w:tr w:rsidR="00910A27" w:rsidRPr="00910A27" w:rsidTr="00910A27">
        <w:trPr>
          <w:gridAfter w:val="1"/>
          <w:wAfter w:w="34" w:type="dxa"/>
          <w:tblCellSpacing w:w="7" w:type="dxa"/>
          <w:jc w:val="center"/>
        </w:trPr>
        <w:tc>
          <w:tcPr>
            <w:tcW w:w="156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D</w:t>
            </w:r>
          </w:p>
        </w:tc>
        <w:tc>
          <w:tcPr>
            <w:tcW w:w="2419"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享受学校正常工资待遇和企业奖金</w:t>
            </w:r>
          </w:p>
        </w:tc>
        <w:tc>
          <w:tcPr>
            <w:tcW w:w="5013" w:type="dxa"/>
            <w:gridSpan w:val="2"/>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10</w:t>
            </w:r>
          </w:p>
        </w:tc>
      </w:tr>
    </w:tbl>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2、服务期内未评聘副教授职称前，享受副教授岗位津贴。前三年，学校提供800元/月的租房补贴；另外前三年学校为其申报泰安市政府2000元/月的租房补贴。</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3、博士后、具有副高及以上职称的博士以及科研业绩特别优秀的博士，安家费、科研启动费、职称、家属安置等事宜，可采取“一人一议、一事一策”的办法，由双方协商确定。</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（三）基础教育领域专家与双师双能型人才</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基础教育领域专家、“双师双能型”人才，具体待遇采取“一人一议、一事一策”的办法，由双方协商确定。</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（四）短期聘用博士研究生</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待遇为年薪25万（税前），科研启动费10万元，可正常评聘职称，缴纳五险一金。聘期满后如双方协商一致，可转为长期聘用博士，享受相关岗位工资待遇，不再重复配套安家费和科研启动费。</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b/>
          <w:bCs/>
          <w:color w:val="2B2B2B"/>
          <w:sz w:val="18"/>
          <w:szCs w:val="18"/>
        </w:rPr>
        <w:t>（五）其他资助</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1、引进的高层次人才带来的国家级、省级科研项目，按学校的配套政策给予资助。对其取得的科研、技术成果，按学校的有关规定给予奖励。</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2、海内外优秀人才依托我校申报国家级和山东省人才支持计划和项目，获批后将享受相应层次人才待遇。</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3、全职引进的高层次人才来校后符合条件的可申报泰山学院“泰山学人1958人才工程”，“泰山学人领军人才” 入围人选任期内享受人才津贴人民币8万元/年、专项经费（人民币人文社科15万元、理工科30万元）；“泰山学人青年才俊”入围人选任期内享受人才津贴人民币4万元/年、专项经费（人民币人文社科10万元、理工科20万元）。任期内入选其他更高层次人才计划（项目）者，根据就高原则享受相关待遇。</w:t>
      </w:r>
    </w:p>
    <w:p w:rsidR="00910A27" w:rsidRPr="00910A27" w:rsidRDefault="00910A27" w:rsidP="00910A27">
      <w:pPr>
        <w:pStyle w:val="3"/>
        <w:pBdr>
          <w:bottom w:val="single" w:sz="12" w:space="10" w:color="5E2926"/>
        </w:pBdr>
        <w:spacing w:before="0" w:after="105"/>
        <w:rPr>
          <w:rFonts w:ascii="微软雅黑" w:eastAsia="微软雅黑" w:hAnsi="微软雅黑" w:hint="eastAsia"/>
          <w:color w:val="000000"/>
          <w:sz w:val="18"/>
          <w:szCs w:val="18"/>
        </w:rPr>
      </w:pPr>
      <w:r w:rsidRPr="00910A27">
        <w:rPr>
          <w:rFonts w:ascii="微软雅黑" w:eastAsia="微软雅黑" w:hAnsi="微软雅黑" w:hint="eastAsia"/>
          <w:color w:val="000000"/>
          <w:sz w:val="18"/>
          <w:szCs w:val="18"/>
        </w:rPr>
        <w:t>三、泰山学院2021年高层次人才引进计划一览表</w:t>
      </w:r>
    </w:p>
    <w:tbl>
      <w:tblPr>
        <w:tblW w:w="5661" w:type="pct"/>
        <w:jc w:val="center"/>
        <w:tblCellSpacing w:w="7" w:type="dxa"/>
        <w:tblInd w:w="-1105" w:type="dxa"/>
        <w:shd w:val="clear" w:color="auto" w:fill="BABABA"/>
        <w:tblCellMar>
          <w:top w:w="15" w:type="dxa"/>
          <w:left w:w="15" w:type="dxa"/>
          <w:bottom w:w="15" w:type="dxa"/>
          <w:right w:w="15" w:type="dxa"/>
        </w:tblCellMar>
        <w:tblLook w:val="04A0"/>
      </w:tblPr>
      <w:tblGrid>
        <w:gridCol w:w="1805"/>
        <w:gridCol w:w="2041"/>
        <w:gridCol w:w="5635"/>
      </w:tblGrid>
      <w:tr w:rsidR="00910A27" w:rsidRPr="00910A27" w:rsidTr="00910A27">
        <w:trPr>
          <w:trHeight w:val="645"/>
          <w:tblHeader/>
          <w:tblCellSpacing w:w="7" w:type="dxa"/>
          <w:jc w:val="center"/>
        </w:trPr>
        <w:tc>
          <w:tcPr>
            <w:tcW w:w="1782" w:type="dxa"/>
            <w:tcBorders>
              <w:top w:val="single" w:sz="4" w:space="0" w:color="auto"/>
              <w:left w:val="single" w:sz="4" w:space="0" w:color="auto"/>
              <w:bottom w:val="single" w:sz="4" w:space="0" w:color="auto"/>
              <w:right w:val="single" w:sz="4" w:space="0" w:color="auto"/>
            </w:tcBorders>
            <w:shd w:val="clear" w:color="auto" w:fill="000033"/>
            <w:vAlign w:val="center"/>
            <w:hideMark/>
          </w:tcPr>
          <w:p w:rsidR="00910A27" w:rsidRPr="00910A27" w:rsidRDefault="00910A27">
            <w:pPr>
              <w:spacing w:line="262" w:lineRule="atLeast"/>
              <w:jc w:val="center"/>
              <w:rPr>
                <w:rFonts w:ascii="微软雅黑" w:eastAsia="微软雅黑" w:hAnsi="微软雅黑" w:cs="宋体"/>
                <w:b/>
                <w:bCs/>
                <w:color w:val="FFFFFF"/>
                <w:sz w:val="18"/>
                <w:szCs w:val="18"/>
              </w:rPr>
            </w:pPr>
            <w:r w:rsidRPr="00910A27">
              <w:rPr>
                <w:rFonts w:ascii="微软雅黑" w:eastAsia="微软雅黑" w:hAnsi="微软雅黑" w:hint="eastAsia"/>
                <w:b/>
                <w:bCs/>
                <w:color w:val="FFFFFF"/>
                <w:sz w:val="18"/>
                <w:szCs w:val="18"/>
              </w:rPr>
              <w:t>序号</w:t>
            </w:r>
          </w:p>
        </w:tc>
        <w:tc>
          <w:tcPr>
            <w:tcW w:w="2024" w:type="dxa"/>
            <w:tcBorders>
              <w:top w:val="single" w:sz="4" w:space="0" w:color="auto"/>
              <w:left w:val="single" w:sz="4" w:space="0" w:color="auto"/>
              <w:bottom w:val="single" w:sz="4" w:space="0" w:color="auto"/>
              <w:right w:val="single" w:sz="4" w:space="0" w:color="auto"/>
            </w:tcBorders>
            <w:shd w:val="clear" w:color="auto" w:fill="000033"/>
            <w:vAlign w:val="center"/>
            <w:hideMark/>
          </w:tcPr>
          <w:p w:rsidR="00910A27" w:rsidRPr="00910A27" w:rsidRDefault="00910A27">
            <w:pPr>
              <w:spacing w:line="262" w:lineRule="atLeast"/>
              <w:jc w:val="center"/>
              <w:rPr>
                <w:rFonts w:ascii="微软雅黑" w:eastAsia="微软雅黑" w:hAnsi="微软雅黑" w:cs="宋体"/>
                <w:b/>
                <w:bCs/>
                <w:color w:val="FFFFFF"/>
                <w:sz w:val="18"/>
                <w:szCs w:val="18"/>
              </w:rPr>
            </w:pPr>
            <w:r w:rsidRPr="00910A27">
              <w:rPr>
                <w:rFonts w:ascii="微软雅黑" w:eastAsia="微软雅黑" w:hAnsi="微软雅黑" w:hint="eastAsia"/>
                <w:b/>
                <w:bCs/>
                <w:color w:val="FFFFFF"/>
                <w:sz w:val="18"/>
                <w:szCs w:val="18"/>
              </w:rPr>
              <w:t>学院</w:t>
            </w:r>
          </w:p>
        </w:tc>
        <w:tc>
          <w:tcPr>
            <w:tcW w:w="5607" w:type="dxa"/>
            <w:shd w:val="clear" w:color="auto" w:fill="FFFFFF"/>
            <w:vAlign w:val="center"/>
            <w:hideMark/>
          </w:tcPr>
          <w:p w:rsidR="00910A27" w:rsidRPr="00910A27" w:rsidRDefault="00910A27">
            <w:pPr>
              <w:spacing w:line="262" w:lineRule="atLeast"/>
              <w:jc w:val="center"/>
              <w:rPr>
                <w:rFonts w:ascii="微软雅黑" w:eastAsia="微软雅黑" w:hAnsi="微软雅黑" w:cs="宋体"/>
                <w:b/>
                <w:bCs/>
                <w:color w:val="000000" w:themeColor="text1"/>
                <w:sz w:val="18"/>
                <w:szCs w:val="18"/>
              </w:rPr>
            </w:pPr>
            <w:r w:rsidRPr="00910A27">
              <w:rPr>
                <w:rFonts w:ascii="微软雅黑" w:eastAsia="微软雅黑" w:hAnsi="微软雅黑" w:hint="eastAsia"/>
                <w:b/>
                <w:bCs/>
                <w:color w:val="000000" w:themeColor="text1"/>
                <w:sz w:val="18"/>
                <w:szCs w:val="18"/>
              </w:rPr>
              <w:t>招聘专业</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lastRenderedPageBreak/>
              <w:t>1</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文学与传媒学院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中国语言文学及相关专业</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2</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马克思主义学院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马克思主义理论及相关专业</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3</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历史学院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历史学及相关专业</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4</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数学与统计学院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数学、控制理论与工程、力学及相关专业</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5</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信息科学技术学院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计算机科学与技术及相关专业</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6</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物理与电子工程学院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光学工程、光学、信息与通信工程、电子科学与技术及相关专业</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7</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化学化工学院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材料科学与工程、药学、化学工程与技术及相关专业</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8</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外国语学院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英语语言文学、外国语言学及应用语言学（英语）、日语语言文学</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9</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旅游学院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管理学、经济学、地理学（研究方向均为：旅游管理、旅游开发、旅游规划、旅游文化）</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10</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体育学院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体育学</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11</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艺术学院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艺术学、美术学、音乐学、设计学、舞蹈学、服装设计与工程</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12</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经济管理学院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工商管理及相关专业</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13</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教师教育学院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教育学、心理学、课程与教学论（语文、数学、英语、物理、化学、生物学）、儿少卫生与妇幼保健学</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14</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生物与酿酒工程学院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中药学、兽医学、畜牧学</w:t>
            </w:r>
          </w:p>
        </w:tc>
      </w:tr>
      <w:tr w:rsidR="00910A27" w:rsidRPr="00910A27" w:rsidTr="00910A27">
        <w:trPr>
          <w:tblCellSpacing w:w="7" w:type="dxa"/>
          <w:jc w:val="center"/>
        </w:trPr>
        <w:tc>
          <w:tcPr>
            <w:tcW w:w="1782"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15</w:t>
            </w:r>
          </w:p>
        </w:tc>
        <w:tc>
          <w:tcPr>
            <w:tcW w:w="2024" w:type="dxa"/>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机械与建筑工程学院</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土木工程、建筑学、力学、管理科学与工程（工程管理）、测绘科学与技术（大地测量学与测量工程）</w:t>
            </w:r>
          </w:p>
        </w:tc>
      </w:tr>
      <w:tr w:rsidR="00910A27" w:rsidRPr="00910A27" w:rsidTr="00910A27">
        <w:trPr>
          <w:tblCellSpacing w:w="7" w:type="dxa"/>
          <w:jc w:val="center"/>
        </w:trPr>
        <w:tc>
          <w:tcPr>
            <w:tcW w:w="3820" w:type="dxa"/>
            <w:gridSpan w:val="2"/>
            <w:shd w:val="clear" w:color="auto" w:fill="F6F8FE"/>
            <w:tcMar>
              <w:top w:w="65" w:type="dxa"/>
              <w:left w:w="65" w:type="dxa"/>
              <w:bottom w:w="65" w:type="dxa"/>
              <w:right w:w="65" w:type="dxa"/>
            </w:tcMar>
            <w:vAlign w:val="center"/>
            <w:hideMark/>
          </w:tcPr>
          <w:p w:rsidR="00910A27" w:rsidRPr="00910A27" w:rsidRDefault="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基础教育领域高级、特级教师</w:t>
            </w:r>
            <w:r w:rsidRPr="00910A27">
              <w:rPr>
                <w:rFonts w:ascii="微软雅黑" w:eastAsia="微软雅黑" w:hAnsi="微软雅黑" w:hint="eastAsia"/>
                <w:color w:val="000000"/>
                <w:sz w:val="18"/>
                <w:szCs w:val="18"/>
              </w:rPr>
              <w:br/>
              <w:t>（语文、数学）</w:t>
            </w:r>
          </w:p>
        </w:tc>
        <w:tc>
          <w:tcPr>
            <w:tcW w:w="5607" w:type="dxa"/>
            <w:shd w:val="clear" w:color="auto" w:fill="F6F8FE"/>
            <w:tcMar>
              <w:top w:w="65" w:type="dxa"/>
              <w:left w:w="65" w:type="dxa"/>
              <w:bottom w:w="65" w:type="dxa"/>
              <w:right w:w="65" w:type="dxa"/>
            </w:tcMar>
            <w:vAlign w:val="center"/>
            <w:hideMark/>
          </w:tcPr>
          <w:p w:rsidR="00910A27" w:rsidRPr="00910A27" w:rsidRDefault="00910A27" w:rsidP="00910A27">
            <w:pPr>
              <w:spacing w:line="262" w:lineRule="atLeast"/>
              <w:jc w:val="center"/>
              <w:rPr>
                <w:rFonts w:ascii="微软雅黑" w:eastAsia="微软雅黑" w:hAnsi="微软雅黑" w:cs="宋体"/>
                <w:color w:val="000000"/>
                <w:sz w:val="18"/>
                <w:szCs w:val="18"/>
              </w:rPr>
            </w:pPr>
            <w:r w:rsidRPr="00910A27">
              <w:rPr>
                <w:rFonts w:ascii="微软雅黑" w:eastAsia="微软雅黑" w:hAnsi="微软雅黑" w:hint="eastAsia"/>
                <w:color w:val="000000"/>
                <w:sz w:val="18"/>
                <w:szCs w:val="18"/>
              </w:rPr>
              <w:t>1.学历为全日制大学本科及以上，硕士或博士研究生优先考虑。</w:t>
            </w:r>
            <w:r w:rsidRPr="00910A27">
              <w:rPr>
                <w:rFonts w:ascii="微软雅黑" w:eastAsia="微软雅黑" w:hAnsi="微软雅黑" w:hint="eastAsia"/>
                <w:color w:val="000000"/>
                <w:sz w:val="18"/>
                <w:szCs w:val="18"/>
              </w:rPr>
              <w:br/>
              <w:t>2.主持省部级及以上基础教育研究的课题不少于1项，在省级以上相关学术团体或行业协会兼任常务理事及以上职务。</w:t>
            </w:r>
            <w:r w:rsidRPr="00910A27">
              <w:rPr>
                <w:rFonts w:ascii="微软雅黑" w:eastAsia="微软雅黑" w:hAnsi="微软雅黑" w:hint="eastAsia"/>
                <w:color w:val="000000"/>
                <w:sz w:val="18"/>
                <w:szCs w:val="18"/>
              </w:rPr>
              <w:br/>
              <w:t>3.副高级及以上职称</w:t>
            </w:r>
          </w:p>
        </w:tc>
      </w:tr>
    </w:tbl>
    <w:p w:rsidR="00910A27" w:rsidRPr="00910A27" w:rsidRDefault="00910A27" w:rsidP="00910A27">
      <w:pPr>
        <w:rPr>
          <w:rFonts w:ascii="宋体" w:eastAsia="宋体" w:hAnsi="宋体" w:hint="eastAsia"/>
          <w:sz w:val="18"/>
          <w:szCs w:val="18"/>
        </w:rPr>
      </w:pPr>
      <w:r w:rsidRPr="00910A27">
        <w:rPr>
          <w:rFonts w:ascii="微软雅黑" w:eastAsia="微软雅黑" w:hAnsi="微软雅黑" w:hint="eastAsia"/>
          <w:color w:val="000000"/>
          <w:sz w:val="18"/>
          <w:szCs w:val="18"/>
        </w:rPr>
        <w:br/>
      </w:r>
    </w:p>
    <w:p w:rsidR="00910A27" w:rsidRPr="00910A27" w:rsidRDefault="00910A27" w:rsidP="00910A27">
      <w:pPr>
        <w:pStyle w:val="3"/>
        <w:pBdr>
          <w:bottom w:val="single" w:sz="12" w:space="10" w:color="5E2926"/>
        </w:pBdr>
        <w:spacing w:before="0" w:after="105"/>
        <w:rPr>
          <w:rFonts w:ascii="微软雅黑" w:eastAsia="微软雅黑" w:hAnsi="微软雅黑"/>
          <w:color w:val="000000"/>
          <w:sz w:val="18"/>
          <w:szCs w:val="18"/>
        </w:rPr>
      </w:pPr>
      <w:r w:rsidRPr="00910A27">
        <w:rPr>
          <w:rFonts w:ascii="微软雅黑" w:eastAsia="微软雅黑" w:hAnsi="微软雅黑" w:hint="eastAsia"/>
          <w:color w:val="000000"/>
          <w:sz w:val="18"/>
          <w:szCs w:val="18"/>
        </w:rPr>
        <w:t>四、联系方式</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人才引进热线：0538-6713599 6715058   手 机：15621393589（微信同号）</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联系人：姜菲菲、孔瀛</w:t>
      </w:r>
    </w:p>
    <w:p w:rsid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邮 箱：tsxygkzp@163.com、tsxyrsczp@163.com</w:t>
      </w:r>
      <w:r>
        <w:rPr>
          <w:rFonts w:ascii="微软雅黑" w:eastAsia="微软雅黑" w:hAnsi="微软雅黑" w:hint="eastAsia"/>
          <w:color w:val="2B2B2B"/>
          <w:sz w:val="18"/>
          <w:szCs w:val="18"/>
        </w:rPr>
        <w:t xml:space="preserve"> </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校  址：山东省泰安市东岳大街525号    </w:t>
      </w:r>
    </w:p>
    <w:p w:rsidR="00910A27" w:rsidRPr="00910A27" w:rsidRDefault="00910A27" w:rsidP="00910A27">
      <w:pPr>
        <w:pStyle w:val="a5"/>
        <w:spacing w:before="0" w:beforeAutospacing="0" w:after="0" w:afterAutospacing="0" w:line="340" w:lineRule="atLeast"/>
        <w:ind w:firstLine="393"/>
        <w:rPr>
          <w:rFonts w:ascii="微软雅黑" w:eastAsia="微软雅黑" w:hAnsi="微软雅黑" w:hint="eastAsia"/>
          <w:color w:val="2B2B2B"/>
          <w:sz w:val="18"/>
          <w:szCs w:val="18"/>
        </w:rPr>
      </w:pPr>
      <w:r w:rsidRPr="00910A27">
        <w:rPr>
          <w:rFonts w:ascii="微软雅黑" w:eastAsia="微软雅黑" w:hAnsi="微软雅黑" w:hint="eastAsia"/>
          <w:color w:val="2B2B2B"/>
          <w:sz w:val="18"/>
          <w:szCs w:val="18"/>
        </w:rPr>
        <w:t>网 址：</w:t>
      </w:r>
      <w:hyperlink r:id="rId6" w:tgtFrame="_blank" w:history="1">
        <w:r w:rsidRPr="00910A27">
          <w:rPr>
            <w:rStyle w:val="a6"/>
            <w:rFonts w:ascii="微软雅黑" w:eastAsia="微软雅黑" w:hAnsi="微软雅黑" w:hint="eastAsia"/>
            <w:sz w:val="18"/>
            <w:szCs w:val="18"/>
          </w:rPr>
          <w:t>http://www.tsu.edu.cn</w:t>
        </w:r>
      </w:hyperlink>
      <w:r>
        <w:rPr>
          <w:rFonts w:ascii="微软雅黑" w:eastAsia="微软雅黑" w:hAnsi="微软雅黑" w:hint="eastAsia"/>
          <w:color w:val="2B2B2B"/>
          <w:sz w:val="18"/>
          <w:szCs w:val="18"/>
        </w:rPr>
        <w:t xml:space="preserve"> </w:t>
      </w:r>
    </w:p>
    <w:p w:rsidR="00FB293D" w:rsidRPr="00910A27" w:rsidRDefault="00910A27" w:rsidP="00910A27">
      <w:pPr>
        <w:pStyle w:val="a5"/>
        <w:spacing w:before="0" w:beforeAutospacing="0" w:after="0" w:afterAutospacing="0" w:line="340" w:lineRule="atLeast"/>
        <w:ind w:firstLine="393"/>
        <w:rPr>
          <w:rFonts w:ascii="微软雅黑" w:eastAsia="微软雅黑" w:hAnsi="微软雅黑"/>
          <w:color w:val="2B2B2B"/>
          <w:sz w:val="18"/>
          <w:szCs w:val="18"/>
        </w:rPr>
      </w:pPr>
      <w:r w:rsidRPr="00910A27">
        <w:rPr>
          <w:rFonts w:ascii="微软雅黑" w:eastAsia="微软雅黑" w:hAnsi="微软雅黑" w:hint="eastAsia"/>
          <w:color w:val="2B2B2B"/>
          <w:sz w:val="18"/>
          <w:szCs w:val="18"/>
        </w:rPr>
        <w:t>邮编：271000</w:t>
      </w:r>
    </w:p>
    <w:sectPr w:rsidR="00FB293D" w:rsidRPr="00910A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93D" w:rsidRDefault="00FB293D" w:rsidP="00910A27">
      <w:r>
        <w:separator/>
      </w:r>
    </w:p>
  </w:endnote>
  <w:endnote w:type="continuationSeparator" w:id="1">
    <w:p w:rsidR="00FB293D" w:rsidRDefault="00FB293D" w:rsidP="00910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93D" w:rsidRDefault="00FB293D" w:rsidP="00910A27">
      <w:r>
        <w:separator/>
      </w:r>
    </w:p>
  </w:footnote>
  <w:footnote w:type="continuationSeparator" w:id="1">
    <w:p w:rsidR="00FB293D" w:rsidRDefault="00FB293D" w:rsidP="00910A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A27"/>
    <w:rsid w:val="00910A27"/>
    <w:rsid w:val="00FB2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10A2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910A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0A27"/>
    <w:rPr>
      <w:sz w:val="18"/>
      <w:szCs w:val="18"/>
    </w:rPr>
  </w:style>
  <w:style w:type="paragraph" w:styleId="a4">
    <w:name w:val="footer"/>
    <w:basedOn w:val="a"/>
    <w:link w:val="Char0"/>
    <w:uiPriority w:val="99"/>
    <w:semiHidden/>
    <w:unhideWhenUsed/>
    <w:rsid w:val="00910A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0A27"/>
    <w:rPr>
      <w:sz w:val="18"/>
      <w:szCs w:val="18"/>
    </w:rPr>
  </w:style>
  <w:style w:type="character" w:customStyle="1" w:styleId="2Char">
    <w:name w:val="标题 2 Char"/>
    <w:basedOn w:val="a0"/>
    <w:link w:val="2"/>
    <w:uiPriority w:val="9"/>
    <w:rsid w:val="00910A27"/>
    <w:rPr>
      <w:rFonts w:ascii="宋体" w:eastAsia="宋体" w:hAnsi="宋体" w:cs="宋体"/>
      <w:b/>
      <w:bCs/>
      <w:kern w:val="0"/>
      <w:sz w:val="36"/>
      <w:szCs w:val="36"/>
    </w:rPr>
  </w:style>
  <w:style w:type="character" w:customStyle="1" w:styleId="3Char">
    <w:name w:val="标题 3 Char"/>
    <w:basedOn w:val="a0"/>
    <w:link w:val="3"/>
    <w:uiPriority w:val="9"/>
    <w:semiHidden/>
    <w:rsid w:val="00910A27"/>
    <w:rPr>
      <w:b/>
      <w:bCs/>
      <w:sz w:val="32"/>
      <w:szCs w:val="32"/>
    </w:rPr>
  </w:style>
  <w:style w:type="paragraph" w:styleId="a5">
    <w:name w:val="Normal (Web)"/>
    <w:basedOn w:val="a"/>
    <w:uiPriority w:val="99"/>
    <w:unhideWhenUsed/>
    <w:rsid w:val="00910A2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10A27"/>
    <w:rPr>
      <w:color w:val="0000FF"/>
      <w:u w:val="single"/>
    </w:rPr>
  </w:style>
  <w:style w:type="paragraph" w:styleId="a7">
    <w:name w:val="Balloon Text"/>
    <w:basedOn w:val="a"/>
    <w:link w:val="Char1"/>
    <w:uiPriority w:val="99"/>
    <w:semiHidden/>
    <w:unhideWhenUsed/>
    <w:rsid w:val="00910A27"/>
    <w:rPr>
      <w:sz w:val="18"/>
      <w:szCs w:val="18"/>
    </w:rPr>
  </w:style>
  <w:style w:type="character" w:customStyle="1" w:styleId="Char1">
    <w:name w:val="批注框文本 Char"/>
    <w:basedOn w:val="a0"/>
    <w:link w:val="a7"/>
    <w:uiPriority w:val="99"/>
    <w:semiHidden/>
    <w:rsid w:val="00910A27"/>
    <w:rPr>
      <w:sz w:val="18"/>
      <w:szCs w:val="18"/>
    </w:rPr>
  </w:style>
</w:styles>
</file>

<file path=word/webSettings.xml><?xml version="1.0" encoding="utf-8"?>
<w:webSettings xmlns:r="http://schemas.openxmlformats.org/officeDocument/2006/relationships" xmlns:w="http://schemas.openxmlformats.org/wordprocessingml/2006/main">
  <w:divs>
    <w:div w:id="609357204">
      <w:bodyDiv w:val="1"/>
      <w:marLeft w:val="0"/>
      <w:marRight w:val="0"/>
      <w:marTop w:val="0"/>
      <w:marBottom w:val="0"/>
      <w:divBdr>
        <w:top w:val="none" w:sz="0" w:space="0" w:color="auto"/>
        <w:left w:val="none" w:sz="0" w:space="0" w:color="auto"/>
        <w:bottom w:val="none" w:sz="0" w:space="0" w:color="auto"/>
        <w:right w:val="none" w:sz="0" w:space="0" w:color="auto"/>
      </w:divBdr>
      <w:divsChild>
        <w:div w:id="2086222701">
          <w:marLeft w:val="0"/>
          <w:marRight w:val="0"/>
          <w:marTop w:val="0"/>
          <w:marBottom w:val="0"/>
          <w:divBdr>
            <w:top w:val="none" w:sz="0" w:space="0" w:color="auto"/>
            <w:left w:val="none" w:sz="0" w:space="0" w:color="auto"/>
            <w:bottom w:val="none" w:sz="0" w:space="0" w:color="auto"/>
            <w:right w:val="none" w:sz="0" w:space="0" w:color="auto"/>
          </w:divBdr>
        </w:div>
        <w:div w:id="1479806087">
          <w:marLeft w:val="0"/>
          <w:marRight w:val="0"/>
          <w:marTop w:val="0"/>
          <w:marBottom w:val="0"/>
          <w:divBdr>
            <w:top w:val="none" w:sz="0" w:space="0" w:color="auto"/>
            <w:left w:val="none" w:sz="0" w:space="0" w:color="auto"/>
            <w:bottom w:val="none" w:sz="0" w:space="0" w:color="auto"/>
            <w:right w:val="none" w:sz="0" w:space="0" w:color="auto"/>
          </w:divBdr>
        </w:div>
        <w:div w:id="849412625">
          <w:marLeft w:val="0"/>
          <w:marRight w:val="0"/>
          <w:marTop w:val="0"/>
          <w:marBottom w:val="0"/>
          <w:divBdr>
            <w:top w:val="none" w:sz="0" w:space="0" w:color="auto"/>
            <w:left w:val="none" w:sz="0" w:space="0" w:color="auto"/>
            <w:bottom w:val="none" w:sz="0" w:space="0" w:color="auto"/>
            <w:right w:val="none" w:sz="0" w:space="0" w:color="auto"/>
          </w:divBdr>
        </w:div>
        <w:div w:id="1224485001">
          <w:marLeft w:val="0"/>
          <w:marRight w:val="0"/>
          <w:marTop w:val="0"/>
          <w:marBottom w:val="0"/>
          <w:divBdr>
            <w:top w:val="none" w:sz="0" w:space="0" w:color="auto"/>
            <w:left w:val="none" w:sz="0" w:space="0" w:color="auto"/>
            <w:bottom w:val="none" w:sz="0" w:space="0" w:color="auto"/>
            <w:right w:val="none" w:sz="0" w:space="0" w:color="auto"/>
          </w:divBdr>
        </w:div>
        <w:div w:id="630206065">
          <w:marLeft w:val="0"/>
          <w:marRight w:val="0"/>
          <w:marTop w:val="0"/>
          <w:marBottom w:val="0"/>
          <w:divBdr>
            <w:top w:val="none" w:sz="0" w:space="0" w:color="auto"/>
            <w:left w:val="none" w:sz="0" w:space="0" w:color="auto"/>
            <w:bottom w:val="none" w:sz="0" w:space="0" w:color="auto"/>
            <w:right w:val="none" w:sz="0" w:space="0" w:color="auto"/>
          </w:divBdr>
        </w:div>
        <w:div w:id="942959913">
          <w:marLeft w:val="0"/>
          <w:marRight w:val="0"/>
          <w:marTop w:val="0"/>
          <w:marBottom w:val="0"/>
          <w:divBdr>
            <w:top w:val="none" w:sz="0" w:space="0" w:color="auto"/>
            <w:left w:val="none" w:sz="0" w:space="0" w:color="auto"/>
            <w:bottom w:val="none" w:sz="0" w:space="0" w:color="auto"/>
            <w:right w:val="none" w:sz="0" w:space="0" w:color="auto"/>
          </w:divBdr>
        </w:div>
        <w:div w:id="2023706116">
          <w:marLeft w:val="0"/>
          <w:marRight w:val="0"/>
          <w:marTop w:val="0"/>
          <w:marBottom w:val="0"/>
          <w:divBdr>
            <w:top w:val="none" w:sz="0" w:space="0" w:color="auto"/>
            <w:left w:val="none" w:sz="0" w:space="0" w:color="auto"/>
            <w:bottom w:val="none" w:sz="0" w:space="0" w:color="auto"/>
            <w:right w:val="none" w:sz="0" w:space="0" w:color="auto"/>
          </w:divBdr>
        </w:div>
        <w:div w:id="458687361">
          <w:marLeft w:val="0"/>
          <w:marRight w:val="0"/>
          <w:marTop w:val="0"/>
          <w:marBottom w:val="0"/>
          <w:divBdr>
            <w:top w:val="none" w:sz="0" w:space="0" w:color="auto"/>
            <w:left w:val="none" w:sz="0" w:space="0" w:color="auto"/>
            <w:bottom w:val="none" w:sz="0" w:space="0" w:color="auto"/>
            <w:right w:val="none" w:sz="0" w:space="0" w:color="auto"/>
          </w:divBdr>
        </w:div>
        <w:div w:id="1851603349">
          <w:marLeft w:val="0"/>
          <w:marRight w:val="0"/>
          <w:marTop w:val="0"/>
          <w:marBottom w:val="0"/>
          <w:divBdr>
            <w:top w:val="none" w:sz="0" w:space="0" w:color="auto"/>
            <w:left w:val="none" w:sz="0" w:space="0" w:color="auto"/>
            <w:bottom w:val="none" w:sz="0" w:space="0" w:color="auto"/>
            <w:right w:val="none" w:sz="0" w:space="0" w:color="auto"/>
          </w:divBdr>
        </w:div>
        <w:div w:id="729497786">
          <w:marLeft w:val="0"/>
          <w:marRight w:val="0"/>
          <w:marTop w:val="0"/>
          <w:marBottom w:val="0"/>
          <w:divBdr>
            <w:top w:val="none" w:sz="0" w:space="0" w:color="auto"/>
            <w:left w:val="none" w:sz="0" w:space="0" w:color="auto"/>
            <w:bottom w:val="none" w:sz="0" w:space="0" w:color="auto"/>
            <w:right w:val="none" w:sz="0" w:space="0" w:color="auto"/>
          </w:divBdr>
        </w:div>
        <w:div w:id="757095850">
          <w:marLeft w:val="0"/>
          <w:marRight w:val="0"/>
          <w:marTop w:val="0"/>
          <w:marBottom w:val="0"/>
          <w:divBdr>
            <w:top w:val="none" w:sz="0" w:space="0" w:color="auto"/>
            <w:left w:val="none" w:sz="0" w:space="0" w:color="auto"/>
            <w:bottom w:val="none" w:sz="0" w:space="0" w:color="auto"/>
            <w:right w:val="none" w:sz="0" w:space="0" w:color="auto"/>
          </w:divBdr>
        </w:div>
        <w:div w:id="1784567782">
          <w:marLeft w:val="0"/>
          <w:marRight w:val="0"/>
          <w:marTop w:val="0"/>
          <w:marBottom w:val="0"/>
          <w:divBdr>
            <w:top w:val="none" w:sz="0" w:space="0" w:color="auto"/>
            <w:left w:val="none" w:sz="0" w:space="0" w:color="auto"/>
            <w:bottom w:val="none" w:sz="0" w:space="0" w:color="auto"/>
            <w:right w:val="none" w:sz="0" w:space="0" w:color="auto"/>
          </w:divBdr>
        </w:div>
        <w:div w:id="1013998416">
          <w:marLeft w:val="0"/>
          <w:marRight w:val="0"/>
          <w:marTop w:val="0"/>
          <w:marBottom w:val="0"/>
          <w:divBdr>
            <w:top w:val="none" w:sz="0" w:space="0" w:color="auto"/>
            <w:left w:val="none" w:sz="0" w:space="0" w:color="auto"/>
            <w:bottom w:val="none" w:sz="0" w:space="0" w:color="auto"/>
            <w:right w:val="none" w:sz="0" w:space="0" w:color="auto"/>
          </w:divBdr>
        </w:div>
        <w:div w:id="213852444">
          <w:marLeft w:val="0"/>
          <w:marRight w:val="0"/>
          <w:marTop w:val="0"/>
          <w:marBottom w:val="0"/>
          <w:divBdr>
            <w:top w:val="none" w:sz="0" w:space="0" w:color="auto"/>
            <w:left w:val="none" w:sz="0" w:space="0" w:color="auto"/>
            <w:bottom w:val="none" w:sz="0" w:space="0" w:color="auto"/>
            <w:right w:val="none" w:sz="0" w:space="0" w:color="auto"/>
          </w:divBdr>
        </w:div>
        <w:div w:id="1300526521">
          <w:marLeft w:val="0"/>
          <w:marRight w:val="0"/>
          <w:marTop w:val="0"/>
          <w:marBottom w:val="0"/>
          <w:divBdr>
            <w:top w:val="none" w:sz="0" w:space="0" w:color="auto"/>
            <w:left w:val="none" w:sz="0" w:space="0" w:color="auto"/>
            <w:bottom w:val="none" w:sz="0" w:space="0" w:color="auto"/>
            <w:right w:val="none" w:sz="0" w:space="0" w:color="auto"/>
          </w:divBdr>
        </w:div>
        <w:div w:id="1553662650">
          <w:marLeft w:val="0"/>
          <w:marRight w:val="0"/>
          <w:marTop w:val="0"/>
          <w:marBottom w:val="0"/>
          <w:divBdr>
            <w:top w:val="none" w:sz="0" w:space="0" w:color="auto"/>
            <w:left w:val="none" w:sz="0" w:space="0" w:color="auto"/>
            <w:bottom w:val="none" w:sz="0" w:space="0" w:color="auto"/>
            <w:right w:val="none" w:sz="0" w:space="0" w:color="auto"/>
          </w:divBdr>
        </w:div>
      </w:divsChild>
    </w:div>
    <w:div w:id="16579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微观世界</dc:creator>
  <cp:keywords/>
  <dc:description/>
  <cp:lastModifiedBy>微观世界</cp:lastModifiedBy>
  <cp:revision>2</cp:revision>
  <dcterms:created xsi:type="dcterms:W3CDTF">2021-01-29T08:17:00Z</dcterms:created>
  <dcterms:modified xsi:type="dcterms:W3CDTF">2021-01-29T08:19:00Z</dcterms:modified>
</cp:coreProperties>
</file>