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56" w:rsidRPr="00781A56" w:rsidRDefault="00781A56" w:rsidP="00781A56">
      <w:pPr>
        <w:widowControl/>
        <w:jc w:val="center"/>
        <w:outlineLvl w:val="1"/>
        <w:rPr>
          <w:rFonts w:ascii="微软雅黑" w:eastAsia="微软雅黑" w:hAnsi="微软雅黑" w:cs="宋体"/>
          <w:b/>
          <w:bCs/>
          <w:color w:val="000000"/>
          <w:kern w:val="0"/>
          <w:sz w:val="42"/>
          <w:szCs w:val="42"/>
        </w:rPr>
      </w:pPr>
      <w:r w:rsidRPr="00781A56">
        <w:rPr>
          <w:rFonts w:ascii="微软雅黑" w:eastAsia="微软雅黑" w:hAnsi="微软雅黑" w:cs="宋体" w:hint="eastAsia"/>
          <w:b/>
          <w:bCs/>
          <w:color w:val="000000"/>
          <w:kern w:val="0"/>
          <w:sz w:val="42"/>
          <w:szCs w:val="42"/>
        </w:rPr>
        <w:t>中国科学院大学宁波生命与健康产业研究院2021年面向海内外诚聘高层次人才</w:t>
      </w:r>
    </w:p>
    <w:p w:rsidR="00781A56" w:rsidRDefault="00781A56" w:rsidP="00781A56">
      <w:pPr>
        <w:pStyle w:val="3"/>
        <w:pBdr>
          <w:bottom w:val="single" w:sz="12" w:space="11" w:color="5E2926"/>
        </w:pBdr>
        <w:spacing w:before="0" w:after="120"/>
        <w:rPr>
          <w:rFonts w:ascii="微软雅黑" w:eastAsia="微软雅黑" w:hAnsi="微软雅黑"/>
          <w:color w:val="000000"/>
        </w:rPr>
      </w:pPr>
      <w:r>
        <w:rPr>
          <w:rFonts w:ascii="微软雅黑" w:eastAsia="微软雅黑" w:hAnsi="微软雅黑" w:hint="eastAsia"/>
          <w:color w:val="000000"/>
        </w:rPr>
        <w:t>一、研究院简介与优势</w:t>
      </w:r>
    </w:p>
    <w:p w:rsidR="00E21FB2" w:rsidRDefault="00E21FB2" w:rsidP="00E21FB2">
      <w:pPr>
        <w:widowControl/>
        <w:spacing w:line="390" w:lineRule="atLeast"/>
        <w:ind w:firstLine="450"/>
        <w:jc w:val="left"/>
        <w:rPr>
          <w:rFonts w:ascii="微软雅黑" w:eastAsia="微软雅黑" w:hAnsi="微软雅黑" w:cs="宋体" w:hint="eastAsia"/>
          <w:color w:val="2B2B2B"/>
          <w:kern w:val="0"/>
          <w:sz w:val="23"/>
          <w:szCs w:val="23"/>
        </w:rPr>
      </w:pPr>
      <w:r>
        <w:rPr>
          <w:rFonts w:ascii="微软雅黑" w:eastAsia="微软雅黑" w:hAnsi="微软雅黑" w:cs="宋体" w:hint="eastAsia"/>
          <w:color w:val="2B2B2B"/>
          <w:kern w:val="0"/>
          <w:sz w:val="23"/>
          <w:szCs w:val="23"/>
        </w:rPr>
        <w:t>视频招聘会时间：2021年3月5日</w:t>
      </w:r>
    </w:p>
    <w:p w:rsidR="00E21FB2" w:rsidRPr="00E21FB2" w:rsidRDefault="00E21FB2" w:rsidP="00E21FB2">
      <w:pPr>
        <w:widowControl/>
        <w:spacing w:line="390" w:lineRule="atLeast"/>
        <w:ind w:firstLine="450"/>
        <w:jc w:val="left"/>
        <w:rPr>
          <w:rFonts w:ascii="微软雅黑" w:eastAsia="微软雅黑" w:hAnsi="微软雅黑" w:cs="宋体" w:hint="eastAsia"/>
          <w:color w:val="2B2B2B"/>
          <w:kern w:val="0"/>
          <w:sz w:val="23"/>
          <w:szCs w:val="23"/>
        </w:rPr>
      </w:pPr>
      <w:r>
        <w:rPr>
          <w:rFonts w:ascii="微软雅黑" w:eastAsia="微软雅黑" w:hAnsi="微软雅黑" w:cs="宋体" w:hint="eastAsia"/>
          <w:color w:val="2B2B2B"/>
          <w:kern w:val="0"/>
          <w:sz w:val="23"/>
          <w:szCs w:val="23"/>
        </w:rPr>
        <w:t>报名网址：</w:t>
      </w:r>
      <w:hyperlink r:id="rId6" w:history="1">
        <w:r w:rsidRPr="009317A4">
          <w:rPr>
            <w:rStyle w:val="a7"/>
            <w:rFonts w:ascii="微软雅黑" w:eastAsia="微软雅黑" w:hAnsi="微软雅黑" w:cs="宋体"/>
            <w:kern w:val="0"/>
            <w:sz w:val="23"/>
            <w:szCs w:val="23"/>
          </w:rPr>
          <w:t>http://zph91boshi.mikecrm.com/Yhec7Dy</w:t>
        </w:r>
      </w:hyperlink>
      <w:r>
        <w:rPr>
          <w:rFonts w:ascii="微软雅黑" w:eastAsia="微软雅黑" w:hAnsi="微软雅黑" w:cs="宋体" w:hint="eastAsia"/>
          <w:color w:val="2B2B2B"/>
          <w:kern w:val="0"/>
          <w:sz w:val="23"/>
          <w:szCs w:val="23"/>
        </w:rPr>
        <w:t xml:space="preserve"> </w:t>
      </w:r>
    </w:p>
    <w:p w:rsidR="00781A56" w:rsidRDefault="00781A56" w:rsidP="00781A56">
      <w:pPr>
        <w:pStyle w:val="a5"/>
        <w:spacing w:before="0" w:beforeAutospacing="0" w:after="0" w:afterAutospacing="0" w:line="390" w:lineRule="atLeast"/>
        <w:ind w:firstLine="450"/>
        <w:rPr>
          <w:rFonts w:ascii="微软雅黑" w:eastAsia="微软雅黑" w:hAnsi="微软雅黑" w:hint="eastAsia"/>
          <w:color w:val="2B2B2B"/>
          <w:sz w:val="23"/>
          <w:szCs w:val="23"/>
        </w:rPr>
      </w:pPr>
      <w:r>
        <w:rPr>
          <w:rFonts w:ascii="微软雅黑" w:eastAsia="微软雅黑" w:hAnsi="微软雅黑" w:hint="eastAsia"/>
          <w:color w:val="2B2B2B"/>
          <w:sz w:val="23"/>
          <w:szCs w:val="23"/>
        </w:rPr>
        <w:t>中国科学院大学宁波生命与健康产业研究院是由宁波市政府和中国科学院大学合作共建的高端、高质、高效的研究联合体，为独立法人单位。研究院坚持开放办院，不断加强与国内外著名科研机构的交流合作，形成了全方位、宽领域、多层次的开放合作格局。</w:t>
      </w:r>
    </w:p>
    <w:p w:rsidR="00781A56" w:rsidRDefault="00781A56" w:rsidP="00781A56">
      <w:pPr>
        <w:pStyle w:val="a5"/>
        <w:spacing w:before="0" w:beforeAutospacing="0" w:after="0" w:afterAutospacing="0" w:line="390" w:lineRule="atLeast"/>
        <w:ind w:firstLine="450"/>
        <w:rPr>
          <w:rFonts w:ascii="微软雅黑" w:eastAsia="微软雅黑" w:hAnsi="微软雅黑" w:hint="eastAsia"/>
          <w:color w:val="2B2B2B"/>
          <w:sz w:val="23"/>
          <w:szCs w:val="23"/>
        </w:rPr>
      </w:pPr>
      <w:r>
        <w:rPr>
          <w:rFonts w:ascii="微软雅黑" w:eastAsia="微软雅黑" w:hAnsi="微软雅黑" w:hint="eastAsia"/>
          <w:color w:val="2B2B2B"/>
          <w:sz w:val="23"/>
          <w:szCs w:val="23"/>
        </w:rPr>
        <w:t>研究院办公场地约1.8万平米，且拥有包括激光共聚焦显微镜、流式细胞分选系统、大型高速核酸蛋白自动纯化系统、激光动物活体成像系统、密理博时间飞行质谱MALDITOF、蛋白表达系统、AKTA蛋白纯化系统、人工智能与多组学分析用高性能计算机集群等先进设备。研究院规划下设若干个研究所（中心），2019年已成立中国科学院大学健康医疗大数据国家研究院宁波分院，主要搭建以居民为中心、贯通全生命周期的健康医疗数据平台，在大数据的“政产学研用”方面形成标准体系试点。研究院研究方向包括生物信息、生物样本库、医疗大数据与医学人工智能、肿瘤精准诊疗、干细胞医学转化关键技术、分子病理与体外诊断先进技术、药物、微生物，以及分子影像。</w:t>
      </w:r>
    </w:p>
    <w:p w:rsidR="00781A56" w:rsidRDefault="00781A56" w:rsidP="00781A56">
      <w:pPr>
        <w:pStyle w:val="a5"/>
        <w:spacing w:before="0" w:beforeAutospacing="0" w:after="0" w:afterAutospacing="0" w:line="390" w:lineRule="atLeast"/>
        <w:ind w:firstLine="450"/>
        <w:rPr>
          <w:rFonts w:ascii="微软雅黑" w:eastAsia="微软雅黑" w:hAnsi="微软雅黑" w:hint="eastAsia"/>
          <w:color w:val="2B2B2B"/>
          <w:sz w:val="23"/>
          <w:szCs w:val="23"/>
        </w:rPr>
      </w:pPr>
      <w:r>
        <w:rPr>
          <w:rFonts w:ascii="微软雅黑" w:eastAsia="微软雅黑" w:hAnsi="微软雅黑" w:hint="eastAsia"/>
          <w:color w:val="2B2B2B"/>
          <w:sz w:val="23"/>
          <w:szCs w:val="23"/>
        </w:rPr>
        <w:t>在人才建设上，研究院着眼于自身长远发展和竞争能力，始终坚持把人才建设放在战略部署的大棋局中统筹谋划，并广纳贤才，发挥战略智库和育才导师作用。</w:t>
      </w:r>
      <w:r>
        <w:rPr>
          <w:rFonts w:ascii="微软雅黑" w:eastAsia="微软雅黑" w:hAnsi="微软雅黑" w:hint="eastAsia"/>
          <w:color w:val="2B2B2B"/>
          <w:sz w:val="23"/>
          <w:szCs w:val="23"/>
        </w:rPr>
        <w:lastRenderedPageBreak/>
        <w:t>研究院目前具备中国科学院院士、长江学者、杰青、万人计划获得者等人才，并配备数十名毕业于双一流高校的博士研究生及硕士研究生。研究院目前拥有16个研究团队，包括以中国科学院大学周凯欣教授带领的糖尿病管理团队、何顺民教授带领的微乳头成分肺腺癌研究团队、杨月峰教授带领的干细胞医学转化研究团队、刘敬佳带领的肿瘤精准诊疗团队、俞孟孙院士带领的多元化智能健康监护系统团队、魏志义教授带领的高功率飞秒激光设备产业化团队、李劲鹏博士带领的医疗大数据与人工智能团队，及张景峰主任带领的疑难病与罕见病研究团队。</w:t>
      </w:r>
    </w:p>
    <w:p w:rsidR="00781A56" w:rsidRDefault="00781A56" w:rsidP="00781A56">
      <w:pPr>
        <w:pStyle w:val="a5"/>
        <w:spacing w:before="0" w:beforeAutospacing="0" w:after="0" w:afterAutospacing="0" w:line="390" w:lineRule="atLeast"/>
        <w:ind w:firstLine="450"/>
        <w:rPr>
          <w:rFonts w:ascii="微软雅黑" w:eastAsia="微软雅黑" w:hAnsi="微软雅黑" w:hint="eastAsia"/>
          <w:color w:val="2B2B2B"/>
          <w:sz w:val="23"/>
          <w:szCs w:val="23"/>
        </w:rPr>
      </w:pPr>
      <w:r>
        <w:rPr>
          <w:rFonts w:ascii="微软雅黑" w:eastAsia="微软雅黑" w:hAnsi="微软雅黑" w:hint="eastAsia"/>
          <w:color w:val="2B2B2B"/>
          <w:sz w:val="23"/>
          <w:szCs w:val="23"/>
        </w:rPr>
        <w:t>研究院注重开展国际合作，不断拓宽交流渠道，与美国、英国、加拿大等国家都进行深入交流。研究院和英国超越实验室有限公司共建联合实验室，并将在中国启动疫苗和癌症的临床试验联合研究计划。未来，研究院和超越实验室将通过把生命科学最前沿的科研成果转移转化成为健康和的技术手段和方法，加速推进宁波市高层次医学人才和高端医疗资源的聚集，为宁波市高质量发展提供坚实的人才、科技和健康保障。</w:t>
      </w:r>
    </w:p>
    <w:p w:rsidR="00781A56" w:rsidRDefault="00781A56" w:rsidP="00781A56">
      <w:pPr>
        <w:pStyle w:val="a5"/>
        <w:spacing w:before="0" w:beforeAutospacing="0" w:after="0" w:afterAutospacing="0" w:line="390" w:lineRule="atLeast"/>
        <w:ind w:firstLine="450"/>
        <w:rPr>
          <w:rFonts w:ascii="微软雅黑" w:eastAsia="微软雅黑" w:hAnsi="微软雅黑" w:hint="eastAsia"/>
          <w:color w:val="2B2B2B"/>
          <w:sz w:val="23"/>
          <w:szCs w:val="23"/>
        </w:rPr>
      </w:pPr>
      <w:r>
        <w:rPr>
          <w:rFonts w:ascii="微软雅黑" w:eastAsia="微软雅黑" w:hAnsi="微软雅黑" w:hint="eastAsia"/>
          <w:color w:val="2B2B2B"/>
          <w:sz w:val="23"/>
          <w:szCs w:val="23"/>
        </w:rPr>
        <w:t>此外，研究院致力于打造汇集全球先进医学科技力量的创新与转化平台，持续推进产业转化，成立全资子公司。面向未来，研究院将成为宁波市生物医疗产业的“国字号”孵化器，集聚生物医疗类科技人才的梧桐木，为宁波市产业结构转型插上创新之翼。</w:t>
      </w:r>
    </w:p>
    <w:p w:rsidR="00781A56" w:rsidRDefault="00781A56" w:rsidP="00781A56">
      <w:pPr>
        <w:pStyle w:val="3"/>
        <w:pBdr>
          <w:bottom w:val="single" w:sz="12" w:space="11" w:color="5E2926"/>
        </w:pBdr>
        <w:spacing w:before="0" w:after="120"/>
        <w:rPr>
          <w:rFonts w:ascii="微软雅黑" w:eastAsia="微软雅黑" w:hAnsi="微软雅黑" w:hint="eastAsia"/>
          <w:color w:val="000000"/>
          <w:sz w:val="27"/>
          <w:szCs w:val="27"/>
        </w:rPr>
      </w:pPr>
      <w:r>
        <w:rPr>
          <w:rFonts w:ascii="微软雅黑" w:eastAsia="微软雅黑" w:hAnsi="微软雅黑" w:hint="eastAsia"/>
          <w:color w:val="000000"/>
        </w:rPr>
        <w:t>二、招聘专业与方向需求</w:t>
      </w:r>
    </w:p>
    <w:tbl>
      <w:tblPr>
        <w:tblW w:w="5000" w:type="pct"/>
        <w:tblCellSpacing w:w="7" w:type="dxa"/>
        <w:shd w:val="clear" w:color="auto" w:fill="BABABA"/>
        <w:tblCellMar>
          <w:left w:w="0" w:type="dxa"/>
          <w:right w:w="0" w:type="dxa"/>
        </w:tblCellMar>
        <w:tblLook w:val="04A0"/>
      </w:tblPr>
      <w:tblGrid>
        <w:gridCol w:w="1767"/>
        <w:gridCol w:w="6587"/>
      </w:tblGrid>
      <w:tr w:rsidR="00781A56" w:rsidRPr="00781A56" w:rsidTr="00781A56">
        <w:trPr>
          <w:trHeight w:val="465"/>
          <w:tblHeader/>
          <w:tblCellSpacing w:w="7" w:type="dxa"/>
        </w:trPr>
        <w:tc>
          <w:tcPr>
            <w:tcW w:w="10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1A56" w:rsidRPr="00781A56" w:rsidRDefault="00781A56">
            <w:pPr>
              <w:spacing w:before="150" w:line="300" w:lineRule="atLeast"/>
              <w:jc w:val="center"/>
              <w:rPr>
                <w:rFonts w:ascii="微软雅黑" w:eastAsia="微软雅黑" w:hAnsi="微软雅黑" w:cs="宋体"/>
                <w:b/>
                <w:bCs/>
                <w:color w:val="000000" w:themeColor="text1"/>
                <w:sz w:val="23"/>
                <w:szCs w:val="23"/>
              </w:rPr>
            </w:pPr>
            <w:r w:rsidRPr="00781A56">
              <w:rPr>
                <w:rStyle w:val="a6"/>
                <w:rFonts w:ascii="微软雅黑" w:eastAsia="微软雅黑" w:hAnsi="微软雅黑" w:hint="eastAsia"/>
                <w:color w:val="000000" w:themeColor="text1"/>
                <w:sz w:val="23"/>
                <w:szCs w:val="23"/>
              </w:rPr>
              <w:t>专业</w:t>
            </w:r>
          </w:p>
        </w:tc>
        <w:tc>
          <w:tcPr>
            <w:tcW w:w="39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1A56" w:rsidRPr="00781A56" w:rsidRDefault="00781A56">
            <w:pPr>
              <w:spacing w:before="150" w:line="300" w:lineRule="atLeast"/>
              <w:jc w:val="center"/>
              <w:rPr>
                <w:rFonts w:ascii="微软雅黑" w:eastAsia="微软雅黑" w:hAnsi="微软雅黑" w:cs="宋体"/>
                <w:b/>
                <w:bCs/>
                <w:color w:val="000000" w:themeColor="text1"/>
                <w:sz w:val="23"/>
                <w:szCs w:val="23"/>
              </w:rPr>
            </w:pPr>
            <w:r w:rsidRPr="00781A56">
              <w:rPr>
                <w:rStyle w:val="a6"/>
                <w:rFonts w:ascii="微软雅黑" w:eastAsia="微软雅黑" w:hAnsi="微软雅黑" w:hint="eastAsia"/>
                <w:color w:val="000000" w:themeColor="text1"/>
                <w:sz w:val="23"/>
                <w:szCs w:val="23"/>
              </w:rPr>
              <w:t>主要研究方向</w:t>
            </w:r>
          </w:p>
        </w:tc>
      </w:tr>
      <w:tr w:rsidR="00781A56" w:rsidTr="00781A56">
        <w:trPr>
          <w:tblCellSpacing w:w="7" w:type="dxa"/>
        </w:trPr>
        <w:tc>
          <w:tcPr>
            <w:tcW w:w="1050"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生物医药（生物学、基础医学、药学等专业）</w:t>
            </w:r>
          </w:p>
        </w:tc>
        <w:tc>
          <w:tcPr>
            <w:tcW w:w="3950"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生物样本库、医疗大数据应用与医学人工智能、肿瘤精准诊疗、干细胞、分子病理与体外诊断、药物制备、微生物耐药机制、分子影像、生物信息学、遗传学等</w:t>
            </w:r>
          </w:p>
        </w:tc>
      </w:tr>
      <w:tr w:rsidR="00781A56" w:rsidTr="00781A56">
        <w:trPr>
          <w:tblCellSpacing w:w="7" w:type="dxa"/>
        </w:trPr>
        <w:tc>
          <w:tcPr>
            <w:tcW w:w="1050"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lastRenderedPageBreak/>
              <w:t>人工智能与深度学习（模拟识别、自动化、计算机等专业）</w:t>
            </w:r>
          </w:p>
        </w:tc>
        <w:tc>
          <w:tcPr>
            <w:tcW w:w="3950"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医学影像、医学文本、临床决策系统等人工智能算法研究，包括流行病学问卷分析、基于医学影像的肿瘤检测、分割和分类、可穿戴设备研发、电子病历分析等</w:t>
            </w:r>
          </w:p>
        </w:tc>
      </w:tr>
    </w:tbl>
    <w:p w:rsidR="00781A56" w:rsidRDefault="00781A56" w:rsidP="00781A56">
      <w:pPr>
        <w:pStyle w:val="a5"/>
        <w:spacing w:before="0" w:beforeAutospacing="0" w:after="0" w:afterAutospacing="0" w:line="390" w:lineRule="atLeast"/>
        <w:ind w:firstLine="450"/>
        <w:rPr>
          <w:rFonts w:ascii="微软雅黑" w:eastAsia="微软雅黑" w:hAnsi="微软雅黑" w:hint="eastAsia"/>
          <w:color w:val="2B2B2B"/>
          <w:sz w:val="23"/>
          <w:szCs w:val="23"/>
        </w:rPr>
      </w:pPr>
      <w:r>
        <w:rPr>
          <w:rFonts w:ascii="微软雅黑" w:eastAsia="微软雅黑" w:hAnsi="微软雅黑" w:hint="eastAsia"/>
          <w:color w:val="2B2B2B"/>
          <w:sz w:val="23"/>
          <w:szCs w:val="23"/>
        </w:rPr>
        <w:t> </w:t>
      </w:r>
    </w:p>
    <w:p w:rsidR="00781A56" w:rsidRDefault="00781A56" w:rsidP="00781A56">
      <w:pPr>
        <w:pStyle w:val="3"/>
        <w:pBdr>
          <w:bottom w:val="single" w:sz="12" w:space="11" w:color="5E2926"/>
        </w:pBdr>
        <w:spacing w:before="0" w:after="120"/>
        <w:rPr>
          <w:rFonts w:ascii="微软雅黑" w:eastAsia="微软雅黑" w:hAnsi="微软雅黑" w:hint="eastAsia"/>
          <w:color w:val="000000"/>
          <w:sz w:val="27"/>
          <w:szCs w:val="27"/>
        </w:rPr>
      </w:pPr>
      <w:r>
        <w:rPr>
          <w:rFonts w:ascii="微软雅黑" w:eastAsia="微软雅黑" w:hAnsi="微软雅黑" w:hint="eastAsia"/>
          <w:color w:val="000000"/>
        </w:rPr>
        <w:t>三、引进人才类型及待遇</w:t>
      </w:r>
    </w:p>
    <w:tbl>
      <w:tblPr>
        <w:tblW w:w="7059" w:type="pct"/>
        <w:tblCellSpacing w:w="7" w:type="dxa"/>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BABA"/>
        <w:tblCellMar>
          <w:left w:w="0" w:type="dxa"/>
          <w:right w:w="0" w:type="dxa"/>
        </w:tblCellMar>
        <w:tblLook w:val="04A0"/>
      </w:tblPr>
      <w:tblGrid>
        <w:gridCol w:w="2365"/>
        <w:gridCol w:w="4527"/>
        <w:gridCol w:w="1646"/>
        <w:gridCol w:w="724"/>
        <w:gridCol w:w="2532"/>
      </w:tblGrid>
      <w:tr w:rsidR="00781A56" w:rsidRPr="00781A56" w:rsidTr="00781A56">
        <w:trPr>
          <w:trHeight w:val="660"/>
          <w:tblHeader/>
          <w:tblCellSpacing w:w="7" w:type="dxa"/>
        </w:trPr>
        <w:tc>
          <w:tcPr>
            <w:tcW w:w="994" w:type="pct"/>
            <w:shd w:val="clear" w:color="auto" w:fill="FFFFFF" w:themeFill="background1"/>
            <w:vAlign w:val="center"/>
            <w:hideMark/>
          </w:tcPr>
          <w:p w:rsidR="00781A56" w:rsidRPr="00781A56" w:rsidRDefault="00781A56">
            <w:pPr>
              <w:spacing w:before="150" w:line="300" w:lineRule="atLeast"/>
              <w:jc w:val="center"/>
              <w:rPr>
                <w:rFonts w:ascii="微软雅黑" w:eastAsia="微软雅黑" w:hAnsi="微软雅黑" w:cs="宋体"/>
                <w:b/>
                <w:bCs/>
                <w:color w:val="000000" w:themeColor="text1"/>
                <w:sz w:val="23"/>
                <w:szCs w:val="23"/>
              </w:rPr>
            </w:pPr>
            <w:r w:rsidRPr="00781A56">
              <w:rPr>
                <w:rFonts w:ascii="微软雅黑" w:eastAsia="微软雅黑" w:hAnsi="微软雅黑" w:hint="eastAsia"/>
                <w:b/>
                <w:bCs/>
                <w:color w:val="000000" w:themeColor="text1"/>
                <w:sz w:val="23"/>
                <w:szCs w:val="23"/>
              </w:rPr>
              <w:t>人才类型</w:t>
            </w:r>
          </w:p>
        </w:tc>
        <w:tc>
          <w:tcPr>
            <w:tcW w:w="1913" w:type="pct"/>
            <w:shd w:val="clear" w:color="auto" w:fill="FFFFFF" w:themeFill="background1"/>
            <w:vAlign w:val="center"/>
            <w:hideMark/>
          </w:tcPr>
          <w:p w:rsidR="00781A56" w:rsidRPr="00781A56" w:rsidRDefault="00781A56">
            <w:pPr>
              <w:spacing w:before="150" w:line="300" w:lineRule="atLeast"/>
              <w:jc w:val="center"/>
              <w:rPr>
                <w:rFonts w:ascii="微软雅黑" w:eastAsia="微软雅黑" w:hAnsi="微软雅黑" w:cs="宋体"/>
                <w:b/>
                <w:bCs/>
                <w:color w:val="000000" w:themeColor="text1"/>
                <w:sz w:val="23"/>
                <w:szCs w:val="23"/>
              </w:rPr>
            </w:pPr>
            <w:r w:rsidRPr="00781A56">
              <w:rPr>
                <w:rFonts w:ascii="微软雅黑" w:eastAsia="微软雅黑" w:hAnsi="微软雅黑" w:hint="eastAsia"/>
                <w:b/>
                <w:bCs/>
                <w:color w:val="000000" w:themeColor="text1"/>
                <w:sz w:val="23"/>
                <w:szCs w:val="23"/>
              </w:rPr>
              <w:t>引进条件</w:t>
            </w:r>
          </w:p>
        </w:tc>
        <w:tc>
          <w:tcPr>
            <w:tcW w:w="692" w:type="pct"/>
            <w:shd w:val="clear" w:color="auto" w:fill="FFFFFF" w:themeFill="background1"/>
            <w:vAlign w:val="center"/>
            <w:hideMark/>
          </w:tcPr>
          <w:p w:rsidR="00781A56" w:rsidRPr="00781A56" w:rsidRDefault="00781A56">
            <w:pPr>
              <w:spacing w:before="150" w:line="300" w:lineRule="atLeast"/>
              <w:jc w:val="center"/>
              <w:rPr>
                <w:rFonts w:ascii="微软雅黑" w:eastAsia="微软雅黑" w:hAnsi="微软雅黑" w:cs="宋体"/>
                <w:b/>
                <w:bCs/>
                <w:color w:val="000000" w:themeColor="text1"/>
                <w:sz w:val="23"/>
                <w:szCs w:val="23"/>
              </w:rPr>
            </w:pPr>
            <w:r w:rsidRPr="00781A56">
              <w:rPr>
                <w:rFonts w:ascii="微软雅黑" w:eastAsia="微软雅黑" w:hAnsi="微软雅黑" w:hint="eastAsia"/>
                <w:b/>
                <w:bCs/>
                <w:color w:val="000000" w:themeColor="text1"/>
                <w:sz w:val="23"/>
                <w:szCs w:val="23"/>
              </w:rPr>
              <w:t>科研启动费（万）</w:t>
            </w:r>
          </w:p>
        </w:tc>
        <w:tc>
          <w:tcPr>
            <w:tcW w:w="301" w:type="pct"/>
            <w:shd w:val="clear" w:color="auto" w:fill="FFFFFF" w:themeFill="background1"/>
            <w:vAlign w:val="center"/>
            <w:hideMark/>
          </w:tcPr>
          <w:p w:rsidR="00781A56" w:rsidRPr="00781A56" w:rsidRDefault="00781A56">
            <w:pPr>
              <w:spacing w:before="150" w:line="300" w:lineRule="atLeast"/>
              <w:jc w:val="center"/>
              <w:rPr>
                <w:rFonts w:ascii="微软雅黑" w:eastAsia="微软雅黑" w:hAnsi="微软雅黑" w:cs="宋体"/>
                <w:b/>
                <w:bCs/>
                <w:color w:val="000000" w:themeColor="text1"/>
                <w:sz w:val="23"/>
                <w:szCs w:val="23"/>
              </w:rPr>
            </w:pPr>
            <w:r w:rsidRPr="00781A56">
              <w:rPr>
                <w:rFonts w:ascii="微软雅黑" w:eastAsia="微软雅黑" w:hAnsi="微软雅黑" w:hint="eastAsia"/>
                <w:b/>
                <w:bCs/>
                <w:color w:val="000000" w:themeColor="text1"/>
                <w:sz w:val="23"/>
                <w:szCs w:val="23"/>
              </w:rPr>
              <w:t>年薪（万）</w:t>
            </w:r>
          </w:p>
        </w:tc>
        <w:tc>
          <w:tcPr>
            <w:tcW w:w="1064" w:type="pct"/>
            <w:shd w:val="clear" w:color="auto" w:fill="FFFFFF" w:themeFill="background1"/>
            <w:vAlign w:val="center"/>
            <w:hideMark/>
          </w:tcPr>
          <w:p w:rsidR="00781A56" w:rsidRPr="00781A56" w:rsidRDefault="00781A56">
            <w:pPr>
              <w:spacing w:before="150" w:line="300" w:lineRule="atLeast"/>
              <w:jc w:val="center"/>
              <w:rPr>
                <w:rFonts w:ascii="微软雅黑" w:eastAsia="微软雅黑" w:hAnsi="微软雅黑" w:cs="宋体"/>
                <w:b/>
                <w:bCs/>
                <w:color w:val="000000" w:themeColor="text1"/>
                <w:sz w:val="23"/>
                <w:szCs w:val="23"/>
              </w:rPr>
            </w:pPr>
            <w:r w:rsidRPr="00781A56">
              <w:rPr>
                <w:rFonts w:ascii="微软雅黑" w:eastAsia="微软雅黑" w:hAnsi="微软雅黑" w:hint="eastAsia"/>
                <w:b/>
                <w:bCs/>
                <w:color w:val="000000" w:themeColor="text1"/>
                <w:sz w:val="23"/>
                <w:szCs w:val="23"/>
              </w:rPr>
              <w:t>住房补助或安家费（万）</w:t>
            </w:r>
          </w:p>
        </w:tc>
      </w:tr>
      <w:tr w:rsidR="00781A56" w:rsidTr="00781A56">
        <w:trPr>
          <w:tblCellSpacing w:w="7" w:type="dxa"/>
        </w:trPr>
        <w:tc>
          <w:tcPr>
            <w:tcW w:w="994"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顶尖人才</w:t>
            </w:r>
          </w:p>
        </w:tc>
        <w:tc>
          <w:tcPr>
            <w:tcW w:w="1913" w:type="pct"/>
            <w:shd w:val="clear" w:color="auto" w:fill="F6F8FE"/>
            <w:tcMar>
              <w:top w:w="75" w:type="dxa"/>
              <w:left w:w="75" w:type="dxa"/>
              <w:bottom w:w="75" w:type="dxa"/>
              <w:right w:w="75" w:type="dxa"/>
            </w:tcMar>
            <w:vAlign w:val="center"/>
            <w:hideMark/>
          </w:tcPr>
          <w:p w:rsidR="00781A56" w:rsidRDefault="00781A56">
            <w:pPr>
              <w:spacing w:before="150" w:line="300" w:lineRule="atLeast"/>
              <w:rPr>
                <w:rFonts w:ascii="微软雅黑" w:eastAsia="微软雅黑" w:hAnsi="微软雅黑" w:cs="宋体"/>
                <w:color w:val="000000"/>
                <w:sz w:val="18"/>
                <w:szCs w:val="18"/>
              </w:rPr>
            </w:pPr>
            <w:r>
              <w:rPr>
                <w:rFonts w:ascii="微软雅黑" w:eastAsia="微软雅黑" w:hAnsi="微软雅黑" w:hint="eastAsia"/>
                <w:color w:val="000000"/>
                <w:sz w:val="18"/>
                <w:szCs w:val="18"/>
              </w:rPr>
              <w:t>诺贝尔奖获得者；中国工程院院士、中国科学院院士（含外籍院士），或具有相当学术地位和成就的境内外专家学者。</w:t>
            </w:r>
          </w:p>
        </w:tc>
        <w:tc>
          <w:tcPr>
            <w:tcW w:w="692"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一事一议</w:t>
            </w:r>
          </w:p>
        </w:tc>
        <w:tc>
          <w:tcPr>
            <w:tcW w:w="301"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一事一议</w:t>
            </w:r>
          </w:p>
        </w:tc>
        <w:tc>
          <w:tcPr>
            <w:tcW w:w="1064"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≥800</w:t>
            </w:r>
          </w:p>
        </w:tc>
      </w:tr>
      <w:tr w:rsidR="00781A56" w:rsidTr="00781A56">
        <w:trPr>
          <w:tblCellSpacing w:w="7" w:type="dxa"/>
        </w:trPr>
        <w:tc>
          <w:tcPr>
            <w:tcW w:w="994"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特优人才</w:t>
            </w:r>
          </w:p>
        </w:tc>
        <w:tc>
          <w:tcPr>
            <w:tcW w:w="1913" w:type="pct"/>
            <w:shd w:val="clear" w:color="auto" w:fill="F6F8FE"/>
            <w:tcMar>
              <w:top w:w="75" w:type="dxa"/>
              <w:left w:w="75" w:type="dxa"/>
              <w:bottom w:w="75" w:type="dxa"/>
              <w:right w:w="75" w:type="dxa"/>
            </w:tcMar>
            <w:vAlign w:val="center"/>
            <w:hideMark/>
          </w:tcPr>
          <w:p w:rsidR="00781A56" w:rsidRDefault="00781A56">
            <w:pPr>
              <w:spacing w:before="150" w:line="300" w:lineRule="atLeast"/>
              <w:rPr>
                <w:rFonts w:ascii="微软雅黑" w:eastAsia="微软雅黑" w:hAnsi="微软雅黑" w:cs="宋体"/>
                <w:color w:val="000000"/>
                <w:sz w:val="18"/>
                <w:szCs w:val="18"/>
              </w:rPr>
            </w:pPr>
            <w:r>
              <w:rPr>
                <w:rFonts w:ascii="微软雅黑" w:eastAsia="微软雅黑" w:hAnsi="微软雅黑" w:hint="eastAsia"/>
                <w:color w:val="000000"/>
                <w:sz w:val="18"/>
                <w:szCs w:val="18"/>
              </w:rPr>
              <w:t>国家“千人计划”专家；国家“万人计划”人才；中科院“百人计划”A类人才；国家级高端人才项目入选或国家杰出青年科学基金项目获得者；浙江省科学技术重大贡献奖获得者，或具有相当学术水平的境内外专家学者，年龄原则上不超过50周岁。</w:t>
            </w:r>
          </w:p>
        </w:tc>
        <w:tc>
          <w:tcPr>
            <w:tcW w:w="692"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500-1000万（入选中科院A类人才项目，支持800万元科研经费）</w:t>
            </w:r>
          </w:p>
        </w:tc>
        <w:tc>
          <w:tcPr>
            <w:tcW w:w="301"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一事一议</w:t>
            </w:r>
          </w:p>
        </w:tc>
        <w:tc>
          <w:tcPr>
            <w:tcW w:w="1064"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≥300</w:t>
            </w:r>
          </w:p>
        </w:tc>
      </w:tr>
      <w:tr w:rsidR="00781A56" w:rsidTr="00781A56">
        <w:trPr>
          <w:tblCellSpacing w:w="7" w:type="dxa"/>
        </w:trPr>
        <w:tc>
          <w:tcPr>
            <w:tcW w:w="994"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领军人才</w:t>
            </w:r>
          </w:p>
        </w:tc>
        <w:tc>
          <w:tcPr>
            <w:tcW w:w="1913" w:type="pct"/>
            <w:shd w:val="clear" w:color="auto" w:fill="F6F8FE"/>
            <w:tcMar>
              <w:top w:w="75" w:type="dxa"/>
              <w:left w:w="75" w:type="dxa"/>
              <w:bottom w:w="75" w:type="dxa"/>
              <w:right w:w="75" w:type="dxa"/>
            </w:tcMar>
            <w:vAlign w:val="center"/>
            <w:hideMark/>
          </w:tcPr>
          <w:p w:rsidR="00781A56" w:rsidRDefault="00781A56">
            <w:pPr>
              <w:spacing w:before="150" w:line="300" w:lineRule="atLeast"/>
              <w:rPr>
                <w:rFonts w:ascii="微软雅黑" w:eastAsia="微软雅黑" w:hAnsi="微软雅黑" w:cs="宋体"/>
                <w:color w:val="000000"/>
                <w:sz w:val="18"/>
                <w:szCs w:val="18"/>
              </w:rPr>
            </w:pPr>
            <w:r>
              <w:rPr>
                <w:rFonts w:ascii="微软雅黑" w:eastAsia="微软雅黑" w:hAnsi="微软雅黑" w:hint="eastAsia"/>
                <w:color w:val="000000"/>
                <w:sz w:val="18"/>
                <w:szCs w:val="18"/>
              </w:rPr>
              <w:t>省级“千人计划”专家；省级“万人计划”专家除杰出人才之外的人选；“钱江学者”特聘教授；国务院学科评议组成员；在国内知名高校（科研机构）担任正高职务或海外知名高校（科研机构）担任副高以上职务的学者；浙江省“151”人才工程重点资助和第一层次培养人选；省级有突出贡献的中青年专家；中科院“百人计划”B类人才；国家自然科学基金“重点项目”“重大项目”“重大国际（地区）合作研究项目”或“优秀青年科学基金项目”第一负责人，或具有相当学术水平的境内外专家学者，年龄原则上不超过50周岁。</w:t>
            </w:r>
          </w:p>
        </w:tc>
        <w:tc>
          <w:tcPr>
            <w:tcW w:w="692"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300-400万（入选中科院B类人才项目，支持300-400万元科研经费，终期评估优秀再支持200万元科研经费）</w:t>
            </w:r>
          </w:p>
        </w:tc>
        <w:tc>
          <w:tcPr>
            <w:tcW w:w="301"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一事一议</w:t>
            </w:r>
          </w:p>
        </w:tc>
        <w:tc>
          <w:tcPr>
            <w:tcW w:w="1064"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≥200</w:t>
            </w:r>
          </w:p>
        </w:tc>
      </w:tr>
      <w:tr w:rsidR="00781A56" w:rsidTr="00781A56">
        <w:trPr>
          <w:tblCellSpacing w:w="7" w:type="dxa"/>
        </w:trPr>
        <w:tc>
          <w:tcPr>
            <w:tcW w:w="994"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拔尖人才</w:t>
            </w:r>
          </w:p>
        </w:tc>
        <w:tc>
          <w:tcPr>
            <w:tcW w:w="1913" w:type="pct"/>
            <w:shd w:val="clear" w:color="auto" w:fill="F6F8FE"/>
            <w:tcMar>
              <w:top w:w="75" w:type="dxa"/>
              <w:left w:w="75" w:type="dxa"/>
              <w:bottom w:w="75" w:type="dxa"/>
              <w:right w:w="75" w:type="dxa"/>
            </w:tcMar>
            <w:vAlign w:val="center"/>
            <w:hideMark/>
          </w:tcPr>
          <w:p w:rsidR="00781A56" w:rsidRDefault="00781A56">
            <w:pPr>
              <w:spacing w:before="150" w:line="300" w:lineRule="atLeast"/>
              <w:rPr>
                <w:rFonts w:ascii="微软雅黑" w:eastAsia="微软雅黑" w:hAnsi="微软雅黑" w:cs="宋体"/>
                <w:color w:val="000000"/>
                <w:sz w:val="18"/>
                <w:szCs w:val="18"/>
              </w:rPr>
            </w:pPr>
            <w:r>
              <w:rPr>
                <w:rFonts w:ascii="微软雅黑" w:eastAsia="微软雅黑" w:hAnsi="微软雅黑" w:hint="eastAsia"/>
                <w:color w:val="000000"/>
                <w:sz w:val="18"/>
                <w:szCs w:val="18"/>
              </w:rPr>
              <w:t>宁波市“3315计划”个人和团队带头人；宁波市“3315资本引才计划”团队带头人；“泛3315计划”个人和团队带头人；在相关领域获得博士学位后，在国内外知名科研机构、高校或大型企业研发机构有3年以上独立工作经验，国内申请人需具有副教授或相当岗位的任职经</w:t>
            </w:r>
            <w:r>
              <w:rPr>
                <w:rFonts w:ascii="微软雅黑" w:eastAsia="微软雅黑" w:hAnsi="微软雅黑" w:hint="eastAsia"/>
                <w:color w:val="000000"/>
                <w:sz w:val="18"/>
                <w:szCs w:val="18"/>
              </w:rPr>
              <w:lastRenderedPageBreak/>
              <w:t>历；宁波市有突出贡献专家；宁波市优秀海外留学人才；省级和计划单列市城市医学学会各专业委员会常务委员、副主任委员；浙江省卫生创新人才，或具有相当学术水平的境内外专家学者，年龄原则上不超过50周岁。</w:t>
            </w:r>
          </w:p>
        </w:tc>
        <w:tc>
          <w:tcPr>
            <w:tcW w:w="692"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lastRenderedPageBreak/>
              <w:t>260-400万（入选宁波市3315创新团队，支持500-2000万元经费）</w:t>
            </w:r>
          </w:p>
        </w:tc>
        <w:tc>
          <w:tcPr>
            <w:tcW w:w="301"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一事一议</w:t>
            </w:r>
          </w:p>
        </w:tc>
        <w:tc>
          <w:tcPr>
            <w:tcW w:w="1064"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一事一议</w:t>
            </w:r>
          </w:p>
        </w:tc>
      </w:tr>
      <w:tr w:rsidR="00781A56" w:rsidTr="00781A56">
        <w:trPr>
          <w:tblCellSpacing w:w="7" w:type="dxa"/>
        </w:trPr>
        <w:tc>
          <w:tcPr>
            <w:tcW w:w="994"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lastRenderedPageBreak/>
              <w:t>高级人才</w:t>
            </w:r>
          </w:p>
        </w:tc>
        <w:tc>
          <w:tcPr>
            <w:tcW w:w="1913" w:type="pct"/>
            <w:shd w:val="clear" w:color="auto" w:fill="F6F8FE"/>
            <w:tcMar>
              <w:top w:w="75" w:type="dxa"/>
              <w:left w:w="75" w:type="dxa"/>
              <w:bottom w:w="75" w:type="dxa"/>
              <w:right w:w="75" w:type="dxa"/>
            </w:tcMar>
            <w:vAlign w:val="center"/>
            <w:hideMark/>
          </w:tcPr>
          <w:p w:rsidR="00781A56" w:rsidRDefault="00781A56">
            <w:pPr>
              <w:spacing w:before="150" w:line="300" w:lineRule="atLeast"/>
              <w:rPr>
                <w:rFonts w:ascii="微软雅黑" w:eastAsia="微软雅黑" w:hAnsi="微软雅黑" w:cs="宋体"/>
                <w:color w:val="000000"/>
                <w:sz w:val="18"/>
                <w:szCs w:val="18"/>
              </w:rPr>
            </w:pPr>
            <w:r>
              <w:rPr>
                <w:rFonts w:ascii="微软雅黑" w:eastAsia="微软雅黑" w:hAnsi="微软雅黑" w:hint="eastAsia"/>
                <w:color w:val="000000"/>
                <w:sz w:val="18"/>
                <w:szCs w:val="18"/>
              </w:rPr>
              <w:t>1.具有研究生学历、博士学位且年龄不超过35周岁；2. 一般应是国家“双一流”建设高校或重点研究机构毕业的博士；或博士毕业学科国内排名为前10％；或海外优秀高校或研究机构培养的博士</w:t>
            </w:r>
          </w:p>
        </w:tc>
        <w:tc>
          <w:tcPr>
            <w:tcW w:w="692"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一事一议</w:t>
            </w:r>
          </w:p>
        </w:tc>
        <w:tc>
          <w:tcPr>
            <w:tcW w:w="301"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一事一议</w:t>
            </w:r>
          </w:p>
        </w:tc>
        <w:tc>
          <w:tcPr>
            <w:tcW w:w="1064" w:type="pct"/>
            <w:shd w:val="clear" w:color="auto" w:fill="F6F8FE"/>
            <w:tcMar>
              <w:top w:w="75" w:type="dxa"/>
              <w:left w:w="75" w:type="dxa"/>
              <w:bottom w:w="75" w:type="dxa"/>
              <w:right w:w="75" w:type="dxa"/>
            </w:tcMar>
            <w:vAlign w:val="center"/>
            <w:hideMark/>
          </w:tcPr>
          <w:p w:rsidR="00781A56" w:rsidRDefault="00781A56">
            <w:pPr>
              <w:spacing w:before="150" w:line="300"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一事一议</w:t>
            </w:r>
          </w:p>
        </w:tc>
      </w:tr>
      <w:tr w:rsidR="00781A56" w:rsidTr="00781A56">
        <w:trPr>
          <w:tblCellSpacing w:w="7" w:type="dxa"/>
        </w:trPr>
        <w:tc>
          <w:tcPr>
            <w:tcW w:w="994" w:type="pct"/>
            <w:shd w:val="clear" w:color="auto" w:fill="BABABA"/>
            <w:vAlign w:val="center"/>
            <w:hideMark/>
          </w:tcPr>
          <w:p w:rsidR="00781A56" w:rsidRDefault="00781A56">
            <w:pPr>
              <w:spacing w:before="150" w:line="300" w:lineRule="atLeast"/>
              <w:rPr>
                <w:rFonts w:ascii="微软雅黑" w:eastAsia="微软雅黑" w:hAnsi="微软雅黑" w:cs="宋体"/>
                <w:color w:val="494949"/>
                <w:szCs w:val="21"/>
              </w:rPr>
            </w:pPr>
          </w:p>
        </w:tc>
        <w:tc>
          <w:tcPr>
            <w:tcW w:w="0" w:type="auto"/>
            <w:shd w:val="clear" w:color="auto" w:fill="BABABA"/>
            <w:vAlign w:val="center"/>
            <w:hideMark/>
          </w:tcPr>
          <w:p w:rsidR="00781A56" w:rsidRDefault="00781A56">
            <w:pPr>
              <w:rPr>
                <w:rFonts w:ascii="Times New Roman" w:eastAsia="Times New Roman" w:hAnsi="Times New Roman" w:cs="Times New Roman"/>
                <w:sz w:val="20"/>
                <w:szCs w:val="20"/>
              </w:rPr>
            </w:pPr>
          </w:p>
        </w:tc>
        <w:tc>
          <w:tcPr>
            <w:tcW w:w="0" w:type="auto"/>
            <w:shd w:val="clear" w:color="auto" w:fill="BABABA"/>
            <w:vAlign w:val="center"/>
            <w:hideMark/>
          </w:tcPr>
          <w:p w:rsidR="00781A56" w:rsidRDefault="00781A56">
            <w:pPr>
              <w:rPr>
                <w:rFonts w:ascii="Times New Roman" w:eastAsia="Times New Roman" w:hAnsi="Times New Roman" w:cs="Times New Roman"/>
                <w:sz w:val="20"/>
                <w:szCs w:val="20"/>
              </w:rPr>
            </w:pPr>
          </w:p>
        </w:tc>
        <w:tc>
          <w:tcPr>
            <w:tcW w:w="0" w:type="auto"/>
            <w:shd w:val="clear" w:color="auto" w:fill="BABABA"/>
            <w:vAlign w:val="center"/>
            <w:hideMark/>
          </w:tcPr>
          <w:p w:rsidR="00781A56" w:rsidRDefault="00781A56">
            <w:pPr>
              <w:rPr>
                <w:rFonts w:ascii="Times New Roman" w:eastAsia="Times New Roman" w:hAnsi="Times New Roman" w:cs="Times New Roman"/>
                <w:sz w:val="20"/>
                <w:szCs w:val="20"/>
              </w:rPr>
            </w:pPr>
          </w:p>
        </w:tc>
        <w:tc>
          <w:tcPr>
            <w:tcW w:w="1064" w:type="pct"/>
            <w:shd w:val="clear" w:color="auto" w:fill="BABABA"/>
            <w:vAlign w:val="center"/>
            <w:hideMark/>
          </w:tcPr>
          <w:p w:rsidR="00781A56" w:rsidRDefault="00781A56">
            <w:pPr>
              <w:rPr>
                <w:rFonts w:ascii="Times New Roman" w:eastAsia="Times New Roman" w:hAnsi="Times New Roman" w:cs="Times New Roman"/>
                <w:sz w:val="20"/>
                <w:szCs w:val="20"/>
              </w:rPr>
            </w:pPr>
          </w:p>
        </w:tc>
      </w:tr>
    </w:tbl>
    <w:p w:rsidR="00781A56" w:rsidRDefault="00781A56" w:rsidP="00781A56">
      <w:pPr>
        <w:pStyle w:val="a5"/>
        <w:spacing w:before="0" w:beforeAutospacing="0" w:after="0" w:afterAutospacing="0" w:line="390" w:lineRule="atLeast"/>
        <w:ind w:firstLine="450"/>
        <w:rPr>
          <w:rFonts w:ascii="微软雅黑" w:eastAsia="微软雅黑" w:hAnsi="微软雅黑" w:hint="eastAsia"/>
          <w:color w:val="2B2B2B"/>
          <w:sz w:val="23"/>
          <w:szCs w:val="23"/>
        </w:rPr>
      </w:pPr>
      <w:r>
        <w:rPr>
          <w:rFonts w:ascii="微软雅黑" w:eastAsia="微软雅黑" w:hAnsi="微软雅黑" w:hint="eastAsia"/>
          <w:color w:val="2B2B2B"/>
          <w:sz w:val="23"/>
          <w:szCs w:val="23"/>
        </w:rPr>
        <w:t> </w:t>
      </w:r>
    </w:p>
    <w:p w:rsidR="00781A56" w:rsidRDefault="00781A56" w:rsidP="00781A56">
      <w:pPr>
        <w:pStyle w:val="3"/>
        <w:pBdr>
          <w:bottom w:val="single" w:sz="12" w:space="11" w:color="5E2926"/>
        </w:pBdr>
        <w:spacing w:before="0" w:after="120"/>
        <w:rPr>
          <w:rFonts w:ascii="微软雅黑" w:eastAsia="微软雅黑" w:hAnsi="微软雅黑" w:hint="eastAsia"/>
          <w:color w:val="000000"/>
          <w:sz w:val="27"/>
          <w:szCs w:val="27"/>
        </w:rPr>
      </w:pPr>
      <w:r>
        <w:rPr>
          <w:rFonts w:ascii="微软雅黑" w:eastAsia="微软雅黑" w:hAnsi="微软雅黑" w:hint="eastAsia"/>
          <w:color w:val="000000"/>
        </w:rPr>
        <w:t>四、招聘报名</w:t>
      </w:r>
    </w:p>
    <w:p w:rsidR="00781A56" w:rsidRDefault="00781A56" w:rsidP="00781A56">
      <w:pPr>
        <w:pStyle w:val="a5"/>
        <w:spacing w:before="0" w:beforeAutospacing="0" w:after="0" w:afterAutospacing="0" w:line="390" w:lineRule="atLeast"/>
        <w:ind w:firstLine="450"/>
        <w:rPr>
          <w:rFonts w:ascii="微软雅黑" w:eastAsia="微软雅黑" w:hAnsi="微软雅黑" w:hint="eastAsia"/>
          <w:color w:val="2B2B2B"/>
          <w:sz w:val="23"/>
          <w:szCs w:val="23"/>
        </w:rPr>
      </w:pPr>
      <w:r>
        <w:rPr>
          <w:rFonts w:ascii="微软雅黑" w:eastAsia="微软雅黑" w:hAnsi="微软雅黑" w:hint="eastAsia"/>
          <w:color w:val="2B2B2B"/>
          <w:sz w:val="23"/>
          <w:szCs w:val="23"/>
        </w:rPr>
        <w:t>应聘材料：包括个人简历、最高学历学位证书、专业技术职务证书、发表学术成果目录（注明第一作者和通讯作者），获奖、专利证书复印件和成果转化情况证明材料，以及本人认为有必要提供的其他相关材料。</w:t>
      </w:r>
    </w:p>
    <w:p w:rsidR="00781A56" w:rsidRDefault="00781A56" w:rsidP="00781A56">
      <w:pPr>
        <w:pStyle w:val="a5"/>
        <w:spacing w:before="0" w:beforeAutospacing="0" w:after="0" w:afterAutospacing="0" w:line="390" w:lineRule="atLeast"/>
        <w:ind w:firstLine="450"/>
        <w:rPr>
          <w:rFonts w:ascii="微软雅黑" w:eastAsia="微软雅黑" w:hAnsi="微软雅黑" w:hint="eastAsia"/>
          <w:color w:val="2B2B2B"/>
          <w:sz w:val="23"/>
          <w:szCs w:val="23"/>
        </w:rPr>
      </w:pPr>
      <w:r>
        <w:rPr>
          <w:rFonts w:ascii="微软雅黑" w:eastAsia="微软雅黑" w:hAnsi="微软雅黑" w:hint="eastAsia"/>
          <w:color w:val="2B2B2B"/>
          <w:sz w:val="23"/>
          <w:szCs w:val="23"/>
        </w:rPr>
        <w:t>招聘时间：长期有效</w:t>
      </w:r>
    </w:p>
    <w:p w:rsidR="00781A56" w:rsidRDefault="00781A56" w:rsidP="00781A56">
      <w:pPr>
        <w:pStyle w:val="a5"/>
        <w:spacing w:before="0" w:beforeAutospacing="0" w:after="0" w:afterAutospacing="0" w:line="390" w:lineRule="atLeast"/>
        <w:ind w:firstLine="450"/>
        <w:rPr>
          <w:rFonts w:ascii="微软雅黑" w:eastAsia="微软雅黑" w:hAnsi="微软雅黑" w:hint="eastAsia"/>
          <w:color w:val="2B2B2B"/>
          <w:sz w:val="23"/>
          <w:szCs w:val="23"/>
        </w:rPr>
      </w:pPr>
      <w:r>
        <w:rPr>
          <w:rFonts w:ascii="微软雅黑" w:eastAsia="微软雅黑" w:hAnsi="微软雅黑" w:hint="eastAsia"/>
          <w:color w:val="2B2B2B"/>
          <w:sz w:val="23"/>
          <w:szCs w:val="23"/>
        </w:rPr>
        <w:t>联系人：柳老师</w:t>
      </w:r>
    </w:p>
    <w:p w:rsidR="00781A56" w:rsidRDefault="00781A56" w:rsidP="00781A56">
      <w:pPr>
        <w:pStyle w:val="a5"/>
        <w:spacing w:before="0" w:beforeAutospacing="0" w:after="0" w:afterAutospacing="0" w:line="390" w:lineRule="atLeast"/>
        <w:ind w:firstLine="450"/>
        <w:rPr>
          <w:rFonts w:ascii="微软雅黑" w:eastAsia="微软雅黑" w:hAnsi="微软雅黑" w:hint="eastAsia"/>
          <w:color w:val="2B2B2B"/>
          <w:sz w:val="23"/>
          <w:szCs w:val="23"/>
        </w:rPr>
      </w:pPr>
      <w:r>
        <w:rPr>
          <w:rFonts w:ascii="微软雅黑" w:eastAsia="微软雅黑" w:hAnsi="微软雅黑" w:hint="eastAsia"/>
          <w:color w:val="2B2B2B"/>
          <w:sz w:val="23"/>
          <w:szCs w:val="23"/>
        </w:rPr>
        <w:t>联系电话：0574-83870910</w:t>
      </w:r>
    </w:p>
    <w:p w:rsidR="00781A56" w:rsidRDefault="00781A56" w:rsidP="00781A56">
      <w:pPr>
        <w:pStyle w:val="a5"/>
        <w:spacing w:before="0" w:beforeAutospacing="0" w:after="0" w:afterAutospacing="0" w:line="390" w:lineRule="atLeast"/>
        <w:ind w:firstLine="450"/>
        <w:rPr>
          <w:rFonts w:ascii="微软雅黑" w:eastAsia="微软雅黑" w:hAnsi="微软雅黑" w:hint="eastAsia"/>
          <w:color w:val="2B2B2B"/>
          <w:sz w:val="23"/>
          <w:szCs w:val="23"/>
        </w:rPr>
      </w:pPr>
      <w:r>
        <w:rPr>
          <w:rFonts w:ascii="微软雅黑" w:eastAsia="微软雅黑" w:hAnsi="微软雅黑" w:hint="eastAsia"/>
          <w:color w:val="2B2B2B"/>
          <w:sz w:val="23"/>
          <w:szCs w:val="23"/>
        </w:rPr>
        <w:t>简历投递邮箱：</w:t>
      </w:r>
      <w:r w:rsidRPr="00781A56">
        <w:rPr>
          <w:rFonts w:ascii="微软雅黑" w:eastAsia="微软雅黑" w:hAnsi="微软雅黑" w:hint="eastAsia"/>
          <w:color w:val="2B2B2B"/>
          <w:sz w:val="23"/>
          <w:szCs w:val="23"/>
        </w:rPr>
        <w:t xml:space="preserve">abc83870999@163.com、abclbszp@163.com </w:t>
      </w:r>
      <w:r>
        <w:rPr>
          <w:rFonts w:ascii="微软雅黑" w:eastAsia="微软雅黑" w:hAnsi="微软雅黑" w:hint="eastAsia"/>
          <w:color w:val="2B2B2B"/>
          <w:sz w:val="23"/>
          <w:szCs w:val="23"/>
        </w:rPr>
        <w:t xml:space="preserve"> </w:t>
      </w:r>
    </w:p>
    <w:p w:rsidR="00467EF0" w:rsidRDefault="00467EF0"/>
    <w:sectPr w:rsidR="00467E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EF0" w:rsidRDefault="00467EF0" w:rsidP="00781A56">
      <w:r>
        <w:separator/>
      </w:r>
    </w:p>
  </w:endnote>
  <w:endnote w:type="continuationSeparator" w:id="1">
    <w:p w:rsidR="00467EF0" w:rsidRDefault="00467EF0" w:rsidP="00781A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EF0" w:rsidRDefault="00467EF0" w:rsidP="00781A56">
      <w:r>
        <w:separator/>
      </w:r>
    </w:p>
  </w:footnote>
  <w:footnote w:type="continuationSeparator" w:id="1">
    <w:p w:rsidR="00467EF0" w:rsidRDefault="00467EF0" w:rsidP="00781A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A56"/>
    <w:rsid w:val="00467EF0"/>
    <w:rsid w:val="00781A56"/>
    <w:rsid w:val="00E21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81A5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781A5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1A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1A56"/>
    <w:rPr>
      <w:sz w:val="18"/>
      <w:szCs w:val="18"/>
    </w:rPr>
  </w:style>
  <w:style w:type="paragraph" w:styleId="a4">
    <w:name w:val="footer"/>
    <w:basedOn w:val="a"/>
    <w:link w:val="Char0"/>
    <w:uiPriority w:val="99"/>
    <w:semiHidden/>
    <w:unhideWhenUsed/>
    <w:rsid w:val="00781A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1A56"/>
    <w:rPr>
      <w:sz w:val="18"/>
      <w:szCs w:val="18"/>
    </w:rPr>
  </w:style>
  <w:style w:type="character" w:customStyle="1" w:styleId="2Char">
    <w:name w:val="标题 2 Char"/>
    <w:basedOn w:val="a0"/>
    <w:link w:val="2"/>
    <w:uiPriority w:val="9"/>
    <w:rsid w:val="00781A56"/>
    <w:rPr>
      <w:rFonts w:ascii="宋体" w:eastAsia="宋体" w:hAnsi="宋体" w:cs="宋体"/>
      <w:b/>
      <w:bCs/>
      <w:kern w:val="0"/>
      <w:sz w:val="36"/>
      <w:szCs w:val="36"/>
    </w:rPr>
  </w:style>
  <w:style w:type="character" w:customStyle="1" w:styleId="3Char">
    <w:name w:val="标题 3 Char"/>
    <w:basedOn w:val="a0"/>
    <w:link w:val="3"/>
    <w:uiPriority w:val="9"/>
    <w:semiHidden/>
    <w:rsid w:val="00781A56"/>
    <w:rPr>
      <w:b/>
      <w:bCs/>
      <w:sz w:val="32"/>
      <w:szCs w:val="32"/>
    </w:rPr>
  </w:style>
  <w:style w:type="paragraph" w:styleId="a5">
    <w:name w:val="Normal (Web)"/>
    <w:basedOn w:val="a"/>
    <w:uiPriority w:val="99"/>
    <w:semiHidden/>
    <w:unhideWhenUsed/>
    <w:rsid w:val="00781A5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81A56"/>
    <w:rPr>
      <w:b/>
      <w:bCs/>
    </w:rPr>
  </w:style>
  <w:style w:type="character" w:styleId="a7">
    <w:name w:val="Hyperlink"/>
    <w:basedOn w:val="a0"/>
    <w:uiPriority w:val="99"/>
    <w:semiHidden/>
    <w:unhideWhenUsed/>
    <w:rsid w:val="00781A56"/>
    <w:rPr>
      <w:color w:val="0000FF"/>
      <w:u w:val="single"/>
    </w:rPr>
  </w:style>
</w:styles>
</file>

<file path=word/webSettings.xml><?xml version="1.0" encoding="utf-8"?>
<w:webSettings xmlns:r="http://schemas.openxmlformats.org/officeDocument/2006/relationships" xmlns:w="http://schemas.openxmlformats.org/wordprocessingml/2006/main">
  <w:divs>
    <w:div w:id="1440644574">
      <w:bodyDiv w:val="1"/>
      <w:marLeft w:val="0"/>
      <w:marRight w:val="0"/>
      <w:marTop w:val="0"/>
      <w:marBottom w:val="0"/>
      <w:divBdr>
        <w:top w:val="none" w:sz="0" w:space="0" w:color="auto"/>
        <w:left w:val="none" w:sz="0" w:space="0" w:color="auto"/>
        <w:bottom w:val="none" w:sz="0" w:space="0" w:color="auto"/>
        <w:right w:val="none" w:sz="0" w:space="0" w:color="auto"/>
      </w:divBdr>
    </w:div>
    <w:div w:id="15473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ph91boshi.mikecrm.com/Yhec7D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微观世界</dc:creator>
  <cp:keywords/>
  <dc:description/>
  <cp:lastModifiedBy>微观世界</cp:lastModifiedBy>
  <cp:revision>10</cp:revision>
  <dcterms:created xsi:type="dcterms:W3CDTF">2021-02-23T06:05:00Z</dcterms:created>
  <dcterms:modified xsi:type="dcterms:W3CDTF">2021-02-23T06:07:00Z</dcterms:modified>
</cp:coreProperties>
</file>